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6672" w14:textId="3C108150" w:rsidR="00665E0C" w:rsidRPr="00E35A1C" w:rsidRDefault="003B633A" w:rsidP="00833DFF">
      <w:pPr>
        <w:spacing w:after="0" w:line="276" w:lineRule="auto"/>
        <w:ind w:firstLine="4536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Bielsko – Biała, dnia ……………..2021 r.</w:t>
      </w:r>
    </w:p>
    <w:p w14:paraId="2EF1BD7B" w14:textId="77777777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CEFA81D" w14:textId="77777777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3D9E19" w14:textId="0AFED2F5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</w:t>
      </w:r>
    </w:p>
    <w:p w14:paraId="2622E3D8" w14:textId="4A63600C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…………………………………….</w:t>
      </w:r>
    </w:p>
    <w:p w14:paraId="61688D51" w14:textId="6597AAE1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</w:t>
      </w:r>
    </w:p>
    <w:p w14:paraId="06837945" w14:textId="106AB365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PESEL: …………………………………….</w:t>
      </w:r>
    </w:p>
    <w:p w14:paraId="3E270FC7" w14:textId="77777777" w:rsidR="003B633A" w:rsidRPr="00E35A1C" w:rsidRDefault="003B633A" w:rsidP="00833DFF">
      <w:pPr>
        <w:pStyle w:val="Heading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  <w:t>Ministerstwo Zdrowia</w:t>
      </w:r>
    </w:p>
    <w:p w14:paraId="7B95140A" w14:textId="60E77151" w:rsidR="003B633A" w:rsidRPr="00E35A1C" w:rsidRDefault="003B633A" w:rsidP="00833DFF">
      <w:pPr>
        <w:spacing w:after="0" w:line="276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Miodowa 15</w:t>
      </w: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00-952 Warszawa</w:t>
      </w:r>
    </w:p>
    <w:p w14:paraId="20BDF094" w14:textId="2939035E" w:rsidR="003B633A" w:rsidRPr="00E35A1C" w:rsidRDefault="003B633A" w:rsidP="00833DFF">
      <w:pPr>
        <w:spacing w:after="0" w:line="276" w:lineRule="auto"/>
        <w:ind w:left="4962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lub Pracodawca/Jednostka Policji/Jednostka Wojskowa</w:t>
      </w:r>
    </w:p>
    <w:p w14:paraId="24F4B820" w14:textId="5B48761F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E85C95" w14:textId="4CBADC87" w:rsidR="003B633A" w:rsidRPr="00E35A1C" w:rsidRDefault="003B633A" w:rsidP="00833DF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A1C">
        <w:rPr>
          <w:rFonts w:ascii="Arial" w:hAnsi="Arial" w:cs="Arial"/>
          <w:b/>
          <w:bCs/>
          <w:sz w:val="20"/>
          <w:szCs w:val="20"/>
        </w:rPr>
        <w:t>Odmowa uczestnictwa w Eksperymencie medycznym</w:t>
      </w:r>
    </w:p>
    <w:p w14:paraId="2322A419" w14:textId="77777777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AAD090" w14:textId="77777777" w:rsidR="00833DFF" w:rsidRPr="00E35A1C" w:rsidRDefault="003B633A" w:rsidP="00833DFF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Działając w imieniu własnym, niniejszym na podstawie  </w:t>
      </w:r>
      <w:r w:rsidR="00522D44" w:rsidRPr="00E35A1C">
        <w:rPr>
          <w:rFonts w:ascii="Arial" w:hAnsi="Arial" w:cs="Arial"/>
          <w:b w:val="0"/>
          <w:bCs w:val="0"/>
          <w:sz w:val="20"/>
          <w:szCs w:val="20"/>
        </w:rPr>
        <w:t xml:space="preserve">art. 25 ust. 1 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Ustawy z dnia 5 grudnia 1996 r. o </w:t>
      </w:r>
      <w:r w:rsidRPr="00E35A1C">
        <w:rPr>
          <w:rFonts w:ascii="Arial" w:hAnsi="Arial" w:cs="Arial"/>
          <w:b w:val="0"/>
          <w:bCs w:val="0"/>
          <w:i/>
          <w:iCs/>
          <w:sz w:val="20"/>
          <w:szCs w:val="20"/>
        </w:rPr>
        <w:t>zawodach lekarza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i lekarza </w:t>
      </w:r>
      <w:r w:rsidRPr="00E35A1C">
        <w:rPr>
          <w:rFonts w:ascii="Arial" w:hAnsi="Arial" w:cs="Arial"/>
          <w:b w:val="0"/>
          <w:bCs w:val="0"/>
          <w:i/>
          <w:iCs/>
          <w:sz w:val="20"/>
          <w:szCs w:val="20"/>
        </w:rPr>
        <w:t>dentysty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E35A1C">
        <w:rPr>
          <w:rStyle w:val="ng-binding"/>
          <w:rFonts w:ascii="Arial" w:hAnsi="Arial" w:cs="Arial"/>
          <w:b w:val="0"/>
          <w:bCs w:val="0"/>
          <w:sz w:val="20"/>
          <w:szCs w:val="20"/>
        </w:rPr>
        <w:t>Dz.U.2020.514 t.j.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35A1C">
        <w:rPr>
          <w:rStyle w:val="ng-scope"/>
          <w:rFonts w:ascii="Arial" w:hAnsi="Arial" w:cs="Arial"/>
          <w:b w:val="0"/>
          <w:bCs w:val="0"/>
          <w:sz w:val="20"/>
          <w:szCs w:val="20"/>
        </w:rPr>
        <w:t>z dnia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2020.03.24 dalej</w:t>
      </w:r>
      <w:r w:rsidR="00522D44" w:rsidRPr="00E35A1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</w:p>
    <w:p w14:paraId="1A1D7EE9" w14:textId="77777777" w:rsidR="00833DFF" w:rsidRPr="00E35A1C" w:rsidRDefault="00833DFF" w:rsidP="00833DFF">
      <w:pPr>
        <w:pStyle w:val="Heading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14:paraId="7F1FBE1E" w14:textId="0C07964B" w:rsidR="00833DFF" w:rsidRPr="00E35A1C" w:rsidRDefault="00522D44" w:rsidP="00833DFF">
      <w:pPr>
        <w:pStyle w:val="Heading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NIE WYRAŻAM ZGODY</w:t>
      </w:r>
    </w:p>
    <w:p w14:paraId="06F676E9" w14:textId="77777777" w:rsidR="00BC4BB3" w:rsidRPr="00E35A1C" w:rsidRDefault="00BC4BB3" w:rsidP="001C242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B74447" w14:textId="5AF5E773" w:rsidR="003B633A" w:rsidRPr="00E35A1C" w:rsidRDefault="00522D44" w:rsidP="001C242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 xml:space="preserve">na udział w eksperymencie medycznym w ramach </w:t>
      </w:r>
      <w:r w:rsidR="001C2422" w:rsidRPr="00E35A1C">
        <w:rPr>
          <w:rFonts w:ascii="Arial" w:hAnsi="Arial" w:cs="Arial"/>
          <w:sz w:val="20"/>
          <w:szCs w:val="20"/>
        </w:rPr>
        <w:t>powszechnego testowania testami: serologiczn</w:t>
      </w:r>
      <w:r w:rsidR="00BC4BB3" w:rsidRPr="00E35A1C">
        <w:rPr>
          <w:rFonts w:ascii="Arial" w:hAnsi="Arial" w:cs="Arial"/>
          <w:sz w:val="20"/>
          <w:szCs w:val="20"/>
        </w:rPr>
        <w:t>ymi</w:t>
      </w:r>
      <w:r w:rsidR="001C2422" w:rsidRPr="00E35A1C">
        <w:rPr>
          <w:rFonts w:ascii="Arial" w:hAnsi="Arial" w:cs="Arial"/>
          <w:sz w:val="20"/>
          <w:szCs w:val="20"/>
        </w:rPr>
        <w:t xml:space="preserve">, molekularnymi (genetycznymi), RT-PCR, FRANKD (test PCR, RT-LAMP)  stosowanymi w celu wykrycia </w:t>
      </w:r>
      <w:r w:rsidRPr="00E35A1C">
        <w:rPr>
          <w:rFonts w:ascii="Arial" w:hAnsi="Arial" w:cs="Arial"/>
          <w:sz w:val="20"/>
          <w:szCs w:val="20"/>
        </w:rPr>
        <w:t>COVID – 19, bez względu na rodzaj dystrybuowane</w:t>
      </w:r>
      <w:r w:rsidR="0088429E" w:rsidRPr="00E35A1C">
        <w:rPr>
          <w:rFonts w:ascii="Arial" w:hAnsi="Arial" w:cs="Arial"/>
          <w:sz w:val="20"/>
          <w:szCs w:val="20"/>
        </w:rPr>
        <w:t xml:space="preserve">go produktu </w:t>
      </w:r>
      <w:r w:rsidR="001C2422" w:rsidRPr="00E35A1C">
        <w:rPr>
          <w:rFonts w:ascii="Arial" w:hAnsi="Arial" w:cs="Arial"/>
          <w:sz w:val="20"/>
          <w:szCs w:val="20"/>
        </w:rPr>
        <w:t xml:space="preserve">medycznego </w:t>
      </w:r>
      <w:r w:rsidR="0088429E" w:rsidRPr="00E35A1C">
        <w:rPr>
          <w:rFonts w:ascii="Arial" w:hAnsi="Arial" w:cs="Arial"/>
          <w:sz w:val="20"/>
          <w:szCs w:val="20"/>
        </w:rPr>
        <w:t>(</w:t>
      </w:r>
      <w:r w:rsidR="001C2422" w:rsidRPr="00E35A1C">
        <w:rPr>
          <w:rFonts w:ascii="Arial" w:hAnsi="Arial" w:cs="Arial"/>
          <w:sz w:val="20"/>
          <w:szCs w:val="20"/>
        </w:rPr>
        <w:t>testu</w:t>
      </w:r>
      <w:r w:rsidR="0088429E" w:rsidRPr="00E35A1C">
        <w:rPr>
          <w:rFonts w:ascii="Arial" w:hAnsi="Arial" w:cs="Arial"/>
          <w:sz w:val="20"/>
          <w:szCs w:val="20"/>
        </w:rPr>
        <w:t>)</w:t>
      </w:r>
      <w:r w:rsidRPr="00E35A1C">
        <w:rPr>
          <w:rFonts w:ascii="Arial" w:hAnsi="Arial" w:cs="Arial"/>
          <w:sz w:val="20"/>
          <w:szCs w:val="20"/>
        </w:rPr>
        <w:t xml:space="preserve"> w momencie złożenia niniejszego oświadczenia, jak również wprowadzenia w terminie późniejszym </w:t>
      </w:r>
      <w:r w:rsidR="00833DFF" w:rsidRPr="00E35A1C">
        <w:rPr>
          <w:rFonts w:ascii="Arial" w:hAnsi="Arial" w:cs="Arial"/>
          <w:sz w:val="20"/>
          <w:szCs w:val="20"/>
        </w:rPr>
        <w:t>w ramach</w:t>
      </w:r>
      <w:r w:rsidRPr="00E35A1C">
        <w:rPr>
          <w:rFonts w:ascii="Arial" w:hAnsi="Arial" w:cs="Arial"/>
          <w:sz w:val="20"/>
          <w:szCs w:val="20"/>
        </w:rPr>
        <w:t xml:space="preserve"> przedmiotowego Programu w analogicznym celu kolejnych </w:t>
      </w:r>
      <w:r w:rsidR="0088429E" w:rsidRPr="00E35A1C">
        <w:rPr>
          <w:rFonts w:ascii="Arial" w:hAnsi="Arial" w:cs="Arial"/>
          <w:sz w:val="20"/>
          <w:szCs w:val="20"/>
        </w:rPr>
        <w:t xml:space="preserve">produktów </w:t>
      </w:r>
      <w:r w:rsidR="001C2422" w:rsidRPr="00E35A1C">
        <w:rPr>
          <w:rFonts w:ascii="Arial" w:hAnsi="Arial" w:cs="Arial"/>
          <w:sz w:val="20"/>
          <w:szCs w:val="20"/>
        </w:rPr>
        <w:t>medycznych</w:t>
      </w:r>
      <w:r w:rsidRPr="00E35A1C">
        <w:rPr>
          <w:rFonts w:ascii="Arial" w:hAnsi="Arial" w:cs="Arial"/>
          <w:sz w:val="20"/>
          <w:szCs w:val="20"/>
        </w:rPr>
        <w:t xml:space="preserve"> warunkowo dopuszczonych do użytku przez Komisję Europejską.</w:t>
      </w:r>
    </w:p>
    <w:p w14:paraId="13160166" w14:textId="4E405C61" w:rsidR="00522D44" w:rsidRPr="00E35A1C" w:rsidRDefault="00522D44" w:rsidP="00833DFF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F4A3470" w14:textId="2264086D" w:rsidR="001C2422" w:rsidRPr="00CB728E" w:rsidRDefault="00522D44" w:rsidP="00CB728E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28E">
        <w:rPr>
          <w:rFonts w:ascii="Arial" w:hAnsi="Arial" w:cs="Arial"/>
          <w:b w:val="0"/>
          <w:bCs w:val="0"/>
          <w:sz w:val="20"/>
          <w:szCs w:val="20"/>
        </w:rPr>
        <w:t xml:space="preserve">Jednocześnie wskazuję, iż stanowczo sprzeciwiam się testowania na mnie </w:t>
      </w:r>
      <w:r w:rsidR="0088429E" w:rsidRPr="00CB728E">
        <w:rPr>
          <w:rFonts w:ascii="Arial" w:hAnsi="Arial" w:cs="Arial"/>
          <w:b w:val="0"/>
          <w:bCs w:val="0"/>
          <w:sz w:val="20"/>
          <w:szCs w:val="20"/>
        </w:rPr>
        <w:t xml:space="preserve">produktu </w:t>
      </w:r>
      <w:r w:rsidR="001C2422" w:rsidRPr="00CB728E">
        <w:rPr>
          <w:rFonts w:ascii="Arial" w:hAnsi="Arial" w:cs="Arial"/>
          <w:b w:val="0"/>
          <w:bCs w:val="0"/>
          <w:sz w:val="20"/>
          <w:szCs w:val="20"/>
        </w:rPr>
        <w:t>medycznego</w:t>
      </w:r>
      <w:r w:rsidRPr="00CB728E">
        <w:rPr>
          <w:rFonts w:ascii="Arial" w:hAnsi="Arial" w:cs="Arial"/>
          <w:b w:val="0"/>
          <w:bCs w:val="0"/>
          <w:sz w:val="20"/>
          <w:szCs w:val="20"/>
        </w:rPr>
        <w:t xml:space="preserve"> który</w:t>
      </w:r>
      <w:r w:rsidR="00CB728E" w:rsidRPr="00CB728E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1C2422" w:rsidRPr="00CB728E">
        <w:rPr>
          <w:rFonts w:ascii="Arial" w:hAnsi="Arial" w:cs="Arial"/>
          <w:b w:val="0"/>
          <w:bCs w:val="0"/>
          <w:sz w:val="20"/>
          <w:szCs w:val="20"/>
        </w:rPr>
        <w:t>godnie z treścią Komunikatu Komisji -  Wytyczne dotyczące testów do diagnostyki in vitro COVID-19 oraz ich działania (2020/C 122 I/01) jest testem w fazie eksperymentalnej.</w:t>
      </w:r>
    </w:p>
    <w:p w14:paraId="72A4065A" w14:textId="199492D9" w:rsidR="00CB728E" w:rsidRPr="00CB728E" w:rsidRDefault="00CB728E" w:rsidP="00CB728E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3D254E3" w14:textId="4ECA32E9" w:rsidR="00CB728E" w:rsidRPr="00CB728E" w:rsidRDefault="00CB728E" w:rsidP="00CB728E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28E">
        <w:rPr>
          <w:rFonts w:ascii="Arial" w:hAnsi="Arial" w:cs="Arial"/>
          <w:b w:val="0"/>
          <w:bCs w:val="0"/>
          <w:sz w:val="20"/>
          <w:szCs w:val="20"/>
        </w:rPr>
        <w:t>Jednocześnie wskazuję że:</w:t>
      </w:r>
    </w:p>
    <w:p w14:paraId="3E0FE21F" w14:textId="77777777" w:rsidR="00CB728E" w:rsidRPr="00CB728E" w:rsidRDefault="00CB728E" w:rsidP="00CB728E">
      <w:pPr>
        <w:pStyle w:val="Heading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8566940" w14:textId="7E78C8F0" w:rsidR="001C2422" w:rsidRPr="00E35A1C" w:rsidRDefault="001C2422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 uwagi na fakt, iż </w:t>
      </w:r>
      <w:r w:rsidR="00BB7B72" w:rsidRPr="00E35A1C">
        <w:rPr>
          <w:rFonts w:ascii="Arial" w:hAnsi="Arial" w:cs="Arial"/>
          <w:sz w:val="20"/>
          <w:szCs w:val="20"/>
        </w:rPr>
        <w:t>vacatio legis części artykułów R</w:t>
      </w:r>
      <w:r w:rsidRPr="00E35A1C">
        <w:rPr>
          <w:rFonts w:ascii="Arial" w:hAnsi="Arial" w:cs="Arial"/>
          <w:sz w:val="20"/>
          <w:szCs w:val="20"/>
        </w:rPr>
        <w:t>ozporządzen</w:t>
      </w:r>
      <w:r w:rsidR="00BB7B72" w:rsidRPr="00E35A1C">
        <w:rPr>
          <w:rFonts w:ascii="Arial" w:hAnsi="Arial" w:cs="Arial"/>
          <w:sz w:val="20"/>
          <w:szCs w:val="20"/>
        </w:rPr>
        <w:t>ia</w:t>
      </w:r>
      <w:r w:rsidRPr="00E35A1C">
        <w:rPr>
          <w:rFonts w:ascii="Arial" w:hAnsi="Arial" w:cs="Arial"/>
          <w:sz w:val="20"/>
          <w:szCs w:val="20"/>
        </w:rPr>
        <w:t xml:space="preserve"> (UE) 2017/746 P</w:t>
      </w:r>
      <w:r w:rsidR="00BB7B72" w:rsidRPr="00E35A1C">
        <w:rPr>
          <w:rFonts w:ascii="Arial" w:hAnsi="Arial" w:cs="Arial"/>
          <w:sz w:val="20"/>
          <w:szCs w:val="20"/>
        </w:rPr>
        <w:t>arlamentu</w:t>
      </w:r>
      <w:r w:rsidRPr="00E35A1C">
        <w:rPr>
          <w:rFonts w:ascii="Arial" w:hAnsi="Arial" w:cs="Arial"/>
          <w:sz w:val="20"/>
          <w:szCs w:val="20"/>
        </w:rPr>
        <w:t xml:space="preserve"> E</w:t>
      </w:r>
      <w:r w:rsidR="00BB7B72" w:rsidRPr="00E35A1C">
        <w:rPr>
          <w:rFonts w:ascii="Arial" w:hAnsi="Arial" w:cs="Arial"/>
          <w:sz w:val="20"/>
          <w:szCs w:val="20"/>
        </w:rPr>
        <w:t xml:space="preserve">uropejskiego i Rady Europy </w:t>
      </w:r>
      <w:r w:rsidRPr="00E35A1C">
        <w:rPr>
          <w:rFonts w:ascii="Arial" w:hAnsi="Arial" w:cs="Arial"/>
          <w:sz w:val="20"/>
          <w:szCs w:val="20"/>
        </w:rPr>
        <w:t xml:space="preserve">z dnia 5 kwietnia 2017 r. w sprawie wyrobów medycznych używanych do diagnozy </w:t>
      </w:r>
      <w:r w:rsidRPr="00E35A1C">
        <w:rPr>
          <w:rFonts w:ascii="Arial" w:hAnsi="Arial" w:cs="Arial"/>
          <w:i/>
          <w:iCs/>
          <w:sz w:val="20"/>
          <w:szCs w:val="20"/>
        </w:rPr>
        <w:t>in vitro</w:t>
      </w:r>
      <w:r w:rsidRPr="00E35A1C">
        <w:rPr>
          <w:rFonts w:ascii="Arial" w:hAnsi="Arial" w:cs="Arial"/>
          <w:sz w:val="20"/>
          <w:szCs w:val="20"/>
        </w:rPr>
        <w:t>, uchylającym jednocześnie dyrektywę 98/79/WE</w:t>
      </w:r>
      <w:r w:rsidR="00BB7B72" w:rsidRPr="00E35A1C">
        <w:rPr>
          <w:rFonts w:ascii="Arial" w:hAnsi="Arial" w:cs="Arial"/>
          <w:sz w:val="20"/>
          <w:szCs w:val="20"/>
        </w:rPr>
        <w:t>, oraz zgodnie z treścią</w:t>
      </w:r>
      <w:r w:rsidRPr="00E35A1C">
        <w:rPr>
          <w:rFonts w:ascii="Arial" w:hAnsi="Arial" w:cs="Arial"/>
          <w:sz w:val="20"/>
          <w:szCs w:val="20"/>
        </w:rPr>
        <w:t xml:space="preserve"> dokumentu Komisji Europejskiej z dnia 16 kwietnia, </w:t>
      </w:r>
      <w:r w:rsidRPr="00E35A1C">
        <w:rPr>
          <w:rFonts w:ascii="Arial" w:hAnsi="Arial" w:cs="Arial"/>
          <w:sz w:val="20"/>
          <w:szCs w:val="20"/>
          <w:u w:val="single"/>
        </w:rPr>
        <w:t xml:space="preserve">żaden z 78 modeli testowych wymazów znajdujących się w obiegu w tym dniu nie został oceniony ani przedłożony żadnemu uznanemu organowi oceniającemu </w:t>
      </w:r>
      <w:r w:rsidR="00BC4BB3" w:rsidRPr="00E35A1C">
        <w:rPr>
          <w:rFonts w:ascii="Arial" w:hAnsi="Arial" w:cs="Arial"/>
          <w:sz w:val="20"/>
          <w:szCs w:val="20"/>
          <w:u w:val="single"/>
        </w:rPr>
        <w:t xml:space="preserve">oraz </w:t>
      </w:r>
      <w:r w:rsidRPr="00E35A1C">
        <w:rPr>
          <w:rFonts w:ascii="Arial" w:hAnsi="Arial" w:cs="Arial"/>
          <w:sz w:val="20"/>
          <w:szCs w:val="20"/>
          <w:u w:val="single"/>
        </w:rPr>
        <w:t>prawie żaden z tych 78 zestawów testowych nie zawiera odpowiedniego arkusza danych technicznych, w tym specyfikacji wykorzystanych sekwencji genów.</w:t>
      </w:r>
    </w:p>
    <w:p w14:paraId="02DCCE11" w14:textId="5D0AA513" w:rsidR="00BC4BB3" w:rsidRPr="007F3BC5" w:rsidRDefault="00B4477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Testy wymazowe są całkowicie pozbawione oceny wstępnej i walidacji i znajdują się w obiegu tylko dzięki temu, że powstała luka prawna między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 xml:space="preserve">ozporządzeniem </w:t>
      </w:r>
      <w:r w:rsidR="00BC4BB3" w:rsidRPr="00E35A1C">
        <w:rPr>
          <w:rFonts w:ascii="Arial" w:hAnsi="Arial" w:cs="Arial"/>
          <w:sz w:val="20"/>
          <w:szCs w:val="20"/>
        </w:rPr>
        <w:t xml:space="preserve">UE </w:t>
      </w:r>
      <w:r w:rsidRPr="00E35A1C">
        <w:rPr>
          <w:rFonts w:ascii="Arial" w:hAnsi="Arial" w:cs="Arial"/>
          <w:sz w:val="20"/>
          <w:szCs w:val="20"/>
        </w:rPr>
        <w:t>z 1998 r., które ograniczyło wykaz wirusów jedynie do wirusów znanych</w:t>
      </w:r>
      <w:r w:rsidR="007F3BC5">
        <w:rPr>
          <w:rFonts w:ascii="Arial" w:hAnsi="Arial" w:cs="Arial"/>
          <w:sz w:val="20"/>
          <w:szCs w:val="20"/>
        </w:rPr>
        <w:t xml:space="preserve">, </w:t>
      </w:r>
      <w:r w:rsidRPr="00E35A1C">
        <w:rPr>
          <w:rFonts w:ascii="Arial" w:hAnsi="Arial" w:cs="Arial"/>
          <w:sz w:val="20"/>
          <w:szCs w:val="20"/>
        </w:rPr>
        <w:t xml:space="preserve">a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 xml:space="preserve">ozporządzeniem </w:t>
      </w:r>
      <w:r w:rsidR="00BC4BB3" w:rsidRPr="00E35A1C">
        <w:rPr>
          <w:rFonts w:ascii="Arial" w:hAnsi="Arial" w:cs="Arial"/>
          <w:sz w:val="20"/>
          <w:szCs w:val="20"/>
        </w:rPr>
        <w:t xml:space="preserve">UE </w:t>
      </w:r>
      <w:r w:rsidRPr="00E35A1C">
        <w:rPr>
          <w:rFonts w:ascii="Arial" w:hAnsi="Arial" w:cs="Arial"/>
          <w:sz w:val="20"/>
          <w:szCs w:val="20"/>
        </w:rPr>
        <w:t xml:space="preserve">z 2017 r., które uchyla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>ozporządzenie</w:t>
      </w:r>
      <w:r w:rsidR="00BC4BB3" w:rsidRPr="00E35A1C">
        <w:rPr>
          <w:rFonts w:ascii="Arial" w:hAnsi="Arial" w:cs="Arial"/>
          <w:sz w:val="20"/>
          <w:szCs w:val="20"/>
        </w:rPr>
        <w:t xml:space="preserve"> UE</w:t>
      </w:r>
      <w:r w:rsidRPr="00E35A1C">
        <w:rPr>
          <w:rFonts w:ascii="Arial" w:hAnsi="Arial" w:cs="Arial"/>
          <w:sz w:val="20"/>
          <w:szCs w:val="20"/>
        </w:rPr>
        <w:t xml:space="preserve"> z 1998 r., ale wchodzi w życie dopiero w 2022 r. </w:t>
      </w:r>
      <w:r w:rsidR="00BC4BB3" w:rsidRPr="007F3BC5">
        <w:rPr>
          <w:rFonts w:ascii="Arial" w:hAnsi="Arial" w:cs="Arial"/>
          <w:sz w:val="20"/>
          <w:szCs w:val="20"/>
          <w:u w:val="single"/>
        </w:rPr>
        <w:t>Powyższe oznacza</w:t>
      </w:r>
      <w:r w:rsidRPr="007F3BC5">
        <w:rPr>
          <w:rFonts w:ascii="Arial" w:hAnsi="Arial" w:cs="Arial"/>
          <w:sz w:val="20"/>
          <w:szCs w:val="20"/>
          <w:u w:val="single"/>
        </w:rPr>
        <w:t xml:space="preserve">, </w:t>
      </w:r>
      <w:r w:rsidR="00BC4BB3" w:rsidRPr="007F3BC5">
        <w:rPr>
          <w:rFonts w:ascii="Arial" w:hAnsi="Arial" w:cs="Arial"/>
          <w:sz w:val="20"/>
          <w:szCs w:val="20"/>
          <w:u w:val="single"/>
        </w:rPr>
        <w:t>że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testy wymazowe Covid-19 </w:t>
      </w:r>
      <w:r w:rsidR="00BC4BB3" w:rsidRPr="007F3BC5">
        <w:rPr>
          <w:rFonts w:ascii="Arial" w:hAnsi="Arial" w:cs="Arial"/>
          <w:sz w:val="20"/>
          <w:szCs w:val="20"/>
          <w:u w:val="single"/>
        </w:rPr>
        <w:t>są dopuszczone do obiegu i stosowane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tylko dzięki anomalii legislacyjnej</w:t>
      </w:r>
      <w:r w:rsidR="00BC4BB3" w:rsidRPr="007F3BC5">
        <w:rPr>
          <w:rFonts w:ascii="Arial" w:hAnsi="Arial" w:cs="Arial"/>
          <w:sz w:val="20"/>
          <w:szCs w:val="20"/>
          <w:u w:val="single"/>
        </w:rPr>
        <w:t xml:space="preserve">, </w:t>
      </w:r>
      <w:r w:rsidRPr="007F3BC5">
        <w:rPr>
          <w:rFonts w:ascii="Arial" w:hAnsi="Arial" w:cs="Arial"/>
          <w:sz w:val="20"/>
          <w:szCs w:val="20"/>
          <w:u w:val="single"/>
        </w:rPr>
        <w:t xml:space="preserve">a w 2022 r. </w:t>
      </w:r>
      <w:r w:rsidR="00BC4BB3" w:rsidRPr="007F3BC5">
        <w:rPr>
          <w:rFonts w:ascii="Arial" w:hAnsi="Arial" w:cs="Arial"/>
          <w:sz w:val="20"/>
          <w:szCs w:val="20"/>
          <w:u w:val="single"/>
        </w:rPr>
        <w:t>staną się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nielegalne</w:t>
      </w:r>
      <w:r w:rsidR="00BC4BB3" w:rsidRPr="007F3BC5">
        <w:rPr>
          <w:rFonts w:ascii="Arial" w:hAnsi="Arial" w:cs="Arial"/>
          <w:sz w:val="20"/>
          <w:szCs w:val="20"/>
          <w:u w:val="single"/>
        </w:rPr>
        <w:t>.</w:t>
      </w:r>
    </w:p>
    <w:p w14:paraId="278353D1" w14:textId="57D36E90" w:rsidR="00BC4BB3" w:rsidRPr="00E35A1C" w:rsidRDefault="00B4477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Jednym z podstawowych problemów jest ciągła mutacja wirusa</w:t>
      </w:r>
      <w:r w:rsidR="00BC4BB3" w:rsidRPr="00E35A1C">
        <w:rPr>
          <w:rFonts w:ascii="Arial" w:hAnsi="Arial" w:cs="Arial"/>
          <w:sz w:val="20"/>
          <w:szCs w:val="20"/>
        </w:rPr>
        <w:t>, która powoduje całkowit</w:t>
      </w:r>
      <w:r w:rsidR="007F3BC5">
        <w:rPr>
          <w:rFonts w:ascii="Arial" w:hAnsi="Arial" w:cs="Arial"/>
          <w:sz w:val="20"/>
          <w:szCs w:val="20"/>
        </w:rPr>
        <w:t>ą</w:t>
      </w:r>
      <w:r w:rsidR="00BC4BB3" w:rsidRPr="00E35A1C">
        <w:rPr>
          <w:rFonts w:ascii="Arial" w:hAnsi="Arial" w:cs="Arial"/>
          <w:sz w:val="20"/>
          <w:szCs w:val="20"/>
        </w:rPr>
        <w:t xml:space="preserve"> nierzetelność wyników stosowanych testów</w:t>
      </w:r>
      <w:r w:rsidRPr="00E35A1C">
        <w:rPr>
          <w:rFonts w:ascii="Arial" w:hAnsi="Arial" w:cs="Arial"/>
          <w:sz w:val="20"/>
          <w:szCs w:val="20"/>
        </w:rPr>
        <w:t xml:space="preserve">.  </w:t>
      </w:r>
      <w:r w:rsidR="00BC4BB3" w:rsidRPr="00E35A1C">
        <w:rPr>
          <w:rFonts w:ascii="Arial" w:hAnsi="Arial" w:cs="Arial"/>
          <w:sz w:val="20"/>
          <w:szCs w:val="20"/>
        </w:rPr>
        <w:t xml:space="preserve">Zgodnie z danymi posiadanymi przez </w:t>
      </w:r>
      <w:r w:rsidRPr="00E35A1C">
        <w:rPr>
          <w:rFonts w:ascii="Arial" w:hAnsi="Arial" w:cs="Arial"/>
          <w:sz w:val="20"/>
          <w:szCs w:val="20"/>
        </w:rPr>
        <w:t xml:space="preserve">GISAID, </w:t>
      </w:r>
      <w:r w:rsidR="007F3BC5">
        <w:rPr>
          <w:rFonts w:ascii="Arial" w:hAnsi="Arial" w:cs="Arial"/>
          <w:sz w:val="20"/>
          <w:szCs w:val="20"/>
        </w:rPr>
        <w:t>która</w:t>
      </w:r>
      <w:r w:rsidRPr="00E35A1C">
        <w:rPr>
          <w:rFonts w:ascii="Arial" w:hAnsi="Arial" w:cs="Arial"/>
          <w:sz w:val="20"/>
          <w:szCs w:val="20"/>
        </w:rPr>
        <w:t xml:space="preserve"> </w:t>
      </w:r>
      <w:r w:rsidR="007F3BC5">
        <w:rPr>
          <w:rFonts w:ascii="Arial" w:hAnsi="Arial" w:cs="Arial"/>
          <w:sz w:val="20"/>
          <w:szCs w:val="20"/>
        </w:rPr>
        <w:t>gromadzi</w:t>
      </w:r>
      <w:r w:rsidRPr="00E35A1C">
        <w:rPr>
          <w:rFonts w:ascii="Arial" w:hAnsi="Arial" w:cs="Arial"/>
          <w:sz w:val="20"/>
          <w:szCs w:val="20"/>
        </w:rPr>
        <w:t xml:space="preserve"> sekwencje genów SARS-Cov 2, istn</w:t>
      </w:r>
      <w:r w:rsidR="007F3BC5">
        <w:rPr>
          <w:rFonts w:ascii="Arial" w:hAnsi="Arial" w:cs="Arial"/>
          <w:sz w:val="20"/>
          <w:szCs w:val="20"/>
        </w:rPr>
        <w:t>iało</w:t>
      </w:r>
      <w:r w:rsidRPr="00E35A1C">
        <w:rPr>
          <w:rFonts w:ascii="Arial" w:hAnsi="Arial" w:cs="Arial"/>
          <w:sz w:val="20"/>
          <w:szCs w:val="20"/>
        </w:rPr>
        <w:t xml:space="preserve"> ponad 70</w:t>
      </w:r>
      <w:r w:rsidR="00BC4BB3" w:rsidRPr="00E35A1C">
        <w:rPr>
          <w:rFonts w:ascii="Arial" w:hAnsi="Arial" w:cs="Arial"/>
          <w:sz w:val="20"/>
          <w:szCs w:val="20"/>
        </w:rPr>
        <w:t>.</w:t>
      </w:r>
      <w:r w:rsidRPr="00E35A1C">
        <w:rPr>
          <w:rFonts w:ascii="Arial" w:hAnsi="Arial" w:cs="Arial"/>
          <w:sz w:val="20"/>
          <w:szCs w:val="20"/>
        </w:rPr>
        <w:t xml:space="preserve">000 różnych sekwencji (w październiku 2020 </w:t>
      </w:r>
      <w:r w:rsidR="00BC4BB3" w:rsidRPr="00E35A1C">
        <w:rPr>
          <w:rFonts w:ascii="Arial" w:hAnsi="Arial" w:cs="Arial"/>
          <w:sz w:val="20"/>
          <w:szCs w:val="20"/>
        </w:rPr>
        <w:t xml:space="preserve">r. odnotowano </w:t>
      </w:r>
      <w:r w:rsidRPr="00E35A1C">
        <w:rPr>
          <w:rFonts w:ascii="Arial" w:hAnsi="Arial" w:cs="Arial"/>
          <w:sz w:val="20"/>
          <w:szCs w:val="20"/>
        </w:rPr>
        <w:t>już 150</w:t>
      </w:r>
      <w:r w:rsidR="00BC4BB3" w:rsidRPr="00E35A1C">
        <w:rPr>
          <w:rFonts w:ascii="Arial" w:hAnsi="Arial" w:cs="Arial"/>
          <w:sz w:val="20"/>
          <w:szCs w:val="20"/>
        </w:rPr>
        <w:t>.</w:t>
      </w:r>
      <w:r w:rsidRPr="00E35A1C">
        <w:rPr>
          <w:rFonts w:ascii="Arial" w:hAnsi="Arial" w:cs="Arial"/>
          <w:sz w:val="20"/>
          <w:szCs w:val="20"/>
        </w:rPr>
        <w:t>000) i ich ilo</w:t>
      </w:r>
      <w:r w:rsidR="00BC4BB3" w:rsidRPr="00E35A1C">
        <w:rPr>
          <w:rFonts w:ascii="Arial" w:hAnsi="Arial" w:cs="Arial"/>
          <w:sz w:val="20"/>
          <w:szCs w:val="20"/>
        </w:rPr>
        <w:t>ś</w:t>
      </w:r>
      <w:r w:rsidRPr="00E35A1C">
        <w:rPr>
          <w:rFonts w:ascii="Arial" w:hAnsi="Arial" w:cs="Arial"/>
          <w:sz w:val="20"/>
          <w:szCs w:val="20"/>
        </w:rPr>
        <w:t>ć stale rośnie</w:t>
      </w:r>
      <w:r w:rsidR="00BC4BB3" w:rsidRPr="00E35A1C">
        <w:rPr>
          <w:rFonts w:ascii="Arial" w:hAnsi="Arial" w:cs="Arial"/>
          <w:sz w:val="20"/>
          <w:szCs w:val="20"/>
        </w:rPr>
        <w:t xml:space="preserve">. Powyższe pozwala na stanowczą wątpliwość co do rzetelności </w:t>
      </w:r>
      <w:r w:rsidRPr="00E35A1C">
        <w:rPr>
          <w:rFonts w:ascii="Arial" w:hAnsi="Arial" w:cs="Arial"/>
          <w:sz w:val="20"/>
          <w:szCs w:val="20"/>
        </w:rPr>
        <w:t>testu opracowanego w lutym 2020 r. i wykorzyst</w:t>
      </w:r>
      <w:r w:rsidR="007F3BC5">
        <w:rPr>
          <w:rFonts w:ascii="Arial" w:hAnsi="Arial" w:cs="Arial"/>
          <w:sz w:val="20"/>
          <w:szCs w:val="20"/>
        </w:rPr>
        <w:t>ywaniu tego testu w dalszym ciągu</w:t>
      </w:r>
      <w:r w:rsidRPr="00E35A1C">
        <w:rPr>
          <w:rFonts w:ascii="Arial" w:hAnsi="Arial" w:cs="Arial"/>
          <w:sz w:val="20"/>
          <w:szCs w:val="20"/>
        </w:rPr>
        <w:t xml:space="preserve"> w </w:t>
      </w:r>
      <w:r w:rsidR="00BC4BB3" w:rsidRPr="00E35A1C">
        <w:rPr>
          <w:rFonts w:ascii="Arial" w:hAnsi="Arial" w:cs="Arial"/>
          <w:sz w:val="20"/>
          <w:szCs w:val="20"/>
        </w:rPr>
        <w:t>marcu</w:t>
      </w:r>
      <w:r w:rsidRPr="00E35A1C">
        <w:rPr>
          <w:rFonts w:ascii="Arial" w:hAnsi="Arial" w:cs="Arial"/>
          <w:sz w:val="20"/>
          <w:szCs w:val="20"/>
        </w:rPr>
        <w:t xml:space="preserve"> 202</w:t>
      </w:r>
      <w:r w:rsidR="00BC4BB3" w:rsidRPr="00E35A1C">
        <w:rPr>
          <w:rFonts w:ascii="Arial" w:hAnsi="Arial" w:cs="Arial"/>
          <w:sz w:val="20"/>
          <w:szCs w:val="20"/>
        </w:rPr>
        <w:t>1</w:t>
      </w:r>
      <w:r w:rsidRPr="00E35A1C">
        <w:rPr>
          <w:rFonts w:ascii="Arial" w:hAnsi="Arial" w:cs="Arial"/>
          <w:sz w:val="20"/>
          <w:szCs w:val="20"/>
        </w:rPr>
        <w:t xml:space="preserve"> r., kiedy to wirus z pewnością  wielokrotnie zmutował</w:t>
      </w:r>
      <w:r w:rsidR="00BC4BB3" w:rsidRPr="00E35A1C">
        <w:rPr>
          <w:rFonts w:ascii="Arial" w:hAnsi="Arial" w:cs="Arial"/>
          <w:sz w:val="20"/>
          <w:szCs w:val="20"/>
        </w:rPr>
        <w:t>.</w:t>
      </w:r>
    </w:p>
    <w:p w14:paraId="412B6D2F" w14:textId="77777777" w:rsidR="00E35A1C" w:rsidRPr="00D91CC3" w:rsidRDefault="00BC4BB3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lastRenderedPageBreak/>
        <w:t>Zgodnie z treścią</w:t>
      </w:r>
      <w:r w:rsidR="00E35A1C" w:rsidRPr="00E35A1C">
        <w:rPr>
          <w:rFonts w:ascii="Arial" w:hAnsi="Arial" w:cs="Arial"/>
          <w:sz w:val="20"/>
          <w:szCs w:val="20"/>
        </w:rPr>
        <w:t xml:space="preserve"> Komunikatu</w:t>
      </w:r>
      <w:r w:rsidR="00B4477B" w:rsidRPr="00E35A1C">
        <w:rPr>
          <w:rFonts w:ascii="Arial" w:hAnsi="Arial" w:cs="Arial"/>
          <w:b/>
          <w:bCs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sz w:val="20"/>
          <w:szCs w:val="20"/>
        </w:rPr>
        <w:t>Komisji Europejskiej</w:t>
      </w:r>
      <w:r w:rsidR="00B4477B" w:rsidRPr="00E35A1C">
        <w:rPr>
          <w:rFonts w:ascii="Arial" w:hAnsi="Arial" w:cs="Arial"/>
          <w:b/>
          <w:bCs/>
          <w:sz w:val="20"/>
          <w:szCs w:val="20"/>
        </w:rPr>
        <w:t xml:space="preserve"> </w:t>
      </w:r>
      <w:r w:rsidR="00B4477B" w:rsidRPr="00E35A1C">
        <w:rPr>
          <w:rFonts w:ascii="Arial" w:hAnsi="Arial" w:cs="Arial"/>
          <w:sz w:val="20"/>
          <w:szCs w:val="20"/>
        </w:rPr>
        <w:t xml:space="preserve">żaden z rodzajów testów, </w:t>
      </w:r>
      <w:r w:rsidR="00E35A1C" w:rsidRPr="00E35A1C">
        <w:rPr>
          <w:rFonts w:ascii="Arial" w:hAnsi="Arial" w:cs="Arial"/>
          <w:sz w:val="20"/>
          <w:szCs w:val="20"/>
        </w:rPr>
        <w:t>stosowanych w Europie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do 16 maja 2020 nie został przez nikogo autoryzowany, oceniony ani zatwierdzony</w:t>
      </w:r>
      <w:r w:rsidR="00E35A1C" w:rsidRPr="00E35A1C">
        <w:rPr>
          <w:rFonts w:ascii="Arial" w:hAnsi="Arial" w:cs="Arial"/>
          <w:sz w:val="20"/>
          <w:szCs w:val="20"/>
        </w:rPr>
        <w:t xml:space="preserve">, ponadto </w:t>
      </w:r>
      <w:r w:rsidR="00B4477B" w:rsidRPr="00E35A1C">
        <w:rPr>
          <w:rFonts w:ascii="Arial" w:hAnsi="Arial" w:cs="Arial"/>
          <w:sz w:val="20"/>
          <w:szCs w:val="20"/>
        </w:rPr>
        <w:t xml:space="preserve">znaczna część tych testów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jest również pozbawiona opisu sekwencji genów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zawartych w materiale testującym</w:t>
      </w:r>
      <w:r w:rsidR="00E35A1C" w:rsidRPr="00D91CC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9BFBB48" w14:textId="77777777" w:rsidR="00E35A1C" w:rsidRPr="00E35A1C" w:rsidRDefault="00E35A1C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P</w:t>
      </w:r>
      <w:r w:rsidR="00B4477B" w:rsidRPr="00E35A1C">
        <w:rPr>
          <w:rFonts w:ascii="Arial" w:hAnsi="Arial" w:cs="Arial"/>
          <w:sz w:val="20"/>
          <w:szCs w:val="20"/>
        </w:rPr>
        <w:t>łynne patogeny stosowane jako model do sekwencjonowania materiału genetycznego nie były poddane miareczkowaniu wirusa, co powoduje, że substancje te zawierały miliardy innych fragmentów wirusopodobnych (w tym naturalnie obecne w naszych organizmach nie- patogeniczne pęcherzyki zewnątrzkomórkowe)</w:t>
      </w:r>
      <w:r w:rsidRPr="00E35A1C">
        <w:rPr>
          <w:rFonts w:ascii="Arial" w:hAnsi="Arial" w:cs="Arial"/>
          <w:sz w:val="20"/>
          <w:szCs w:val="20"/>
        </w:rPr>
        <w:t xml:space="preserve">. </w:t>
      </w:r>
      <w:r w:rsidR="00B4477B" w:rsidRPr="00E35A1C">
        <w:rPr>
          <w:rFonts w:ascii="Arial" w:hAnsi="Arial" w:cs="Arial"/>
          <w:b/>
          <w:bCs/>
          <w:sz w:val="20"/>
          <w:szCs w:val="20"/>
          <w:u w:val="single"/>
        </w:rPr>
        <w:t>Oznacza to, że do dziś nie istnieje żaden marker specyficzny dla wirusa, zatem żaden test nie może być uznany za standardowo wiarygodny.</w:t>
      </w:r>
    </w:p>
    <w:p w14:paraId="10A59E46" w14:textId="18701844" w:rsidR="00E35A1C" w:rsidRPr="00E35A1C" w:rsidRDefault="00B4477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Testy obecnie używane, których jest ponad 100, nie podlegają kontroli przewidzianej europejskim prawem o urządzeniach medycznych z 1997 roku</w:t>
      </w:r>
      <w:r w:rsidR="00E35A1C" w:rsidRPr="00E35A1C">
        <w:rPr>
          <w:rFonts w:ascii="Arial" w:hAnsi="Arial" w:cs="Arial"/>
          <w:sz w:val="20"/>
          <w:szCs w:val="20"/>
        </w:rPr>
        <w:t xml:space="preserve">. </w:t>
      </w:r>
      <w:r w:rsidRPr="00E35A1C">
        <w:rPr>
          <w:rFonts w:ascii="Arial" w:hAnsi="Arial" w:cs="Arial"/>
          <w:sz w:val="20"/>
          <w:szCs w:val="20"/>
        </w:rPr>
        <w:t>Jednocześnie nie podlegają one nowej normie Unii Europejskiej z roku 2017, która wejdzie w życie dopiero w maju 2022</w:t>
      </w:r>
      <w:r w:rsidR="00D91CC3">
        <w:rPr>
          <w:rFonts w:ascii="Arial" w:hAnsi="Arial" w:cs="Arial"/>
          <w:sz w:val="20"/>
          <w:szCs w:val="20"/>
        </w:rPr>
        <w:t xml:space="preserve"> roku</w:t>
      </w:r>
      <w:r w:rsidR="00E35A1C" w:rsidRPr="00E35A1C">
        <w:rPr>
          <w:rFonts w:ascii="Arial" w:hAnsi="Arial" w:cs="Arial"/>
          <w:sz w:val="20"/>
          <w:szCs w:val="20"/>
        </w:rPr>
        <w:t xml:space="preserve">. Przedmiotowa </w:t>
      </w:r>
      <w:r w:rsidRPr="00E35A1C">
        <w:rPr>
          <w:rFonts w:ascii="Arial" w:hAnsi="Arial" w:cs="Arial"/>
          <w:sz w:val="20"/>
          <w:szCs w:val="20"/>
        </w:rPr>
        <w:t>luka prawna stwarza producentom swobodę wprowadzania wszelkiego typu przyrządów medycznych poza jakąkolwiek kontrolą</w:t>
      </w:r>
      <w:r w:rsidR="00D91CC3">
        <w:rPr>
          <w:rFonts w:ascii="Arial" w:hAnsi="Arial" w:cs="Arial"/>
          <w:sz w:val="20"/>
          <w:szCs w:val="20"/>
        </w:rPr>
        <w:t xml:space="preserve">, co z kolei 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 xml:space="preserve">powoduje, że produkowane są testy według 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>standardów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”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>, których skuteczności nie można sprawdzić</w:t>
      </w:r>
      <w:r w:rsidR="00E35A1C" w:rsidRPr="00E35A1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CBFA109" w14:textId="1F5FAE17" w:rsidR="00E35A1C" w:rsidRPr="00E35A1C" w:rsidRDefault="00B4477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b/>
          <w:bCs/>
          <w:sz w:val="20"/>
          <w:szCs w:val="20"/>
          <w:u w:val="single"/>
        </w:rPr>
        <w:t>W związku z powyższym będące w obiegu testy/wymazy, nawet gdyby teoretycznie przyjąć ich skuteczność i zgodność z obowiązującymi normami, są nieprzydatne, ponieważ nie uwzględniają mutacji wirusa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17FC1F3F" w14:textId="4329F504" w:rsidR="00E35A1C" w:rsidRPr="00E35A1C" w:rsidRDefault="00D91CC3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</w:t>
      </w:r>
      <w:r w:rsidR="00B4477B" w:rsidRPr="00E35A1C">
        <w:rPr>
          <w:rFonts w:ascii="Arial" w:hAnsi="Arial" w:cs="Arial"/>
          <w:sz w:val="20"/>
          <w:szCs w:val="20"/>
        </w:rPr>
        <w:t xml:space="preserve">nny istotny problem wiąże się z zastosowaną w tych testach metodą RT-PCR. Jak podkreślają najwybitniejsi znawcy tej metody, może ona funkcjonować prawidłowo, kiedy badanie obejmuje od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20 do 30 cykli PCR</w:t>
      </w:r>
      <w:r w:rsidR="00B4477B" w:rsidRPr="00E35A1C">
        <w:rPr>
          <w:rFonts w:ascii="Arial" w:hAnsi="Arial" w:cs="Arial"/>
          <w:sz w:val="20"/>
          <w:szCs w:val="20"/>
        </w:rPr>
        <w:t xml:space="preserve">; nie należy natomiast przekraczać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35 cykli</w:t>
      </w:r>
      <w:r w:rsidR="00B4477B" w:rsidRPr="00E35A1C">
        <w:rPr>
          <w:rFonts w:ascii="Arial" w:hAnsi="Arial" w:cs="Arial"/>
          <w:sz w:val="20"/>
          <w:szCs w:val="20"/>
        </w:rPr>
        <w:t xml:space="preserve">, ponieważ po przekroczeniu takiego progu PCR zaczyna wytwarzać przypadkowe sekwencje. </w:t>
      </w:r>
      <w:r>
        <w:rPr>
          <w:rFonts w:ascii="Arial" w:hAnsi="Arial" w:cs="Arial"/>
          <w:sz w:val="20"/>
          <w:szCs w:val="20"/>
        </w:rPr>
        <w:t>Zgodnie z treścią ogólnodostępnych</w:t>
      </w:r>
      <w:r w:rsidR="00B4477B" w:rsidRPr="00E35A1C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>ów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 jednoznacznie</w:t>
      </w:r>
      <w:r w:rsidR="00B4477B" w:rsidRPr="00E35A1C">
        <w:rPr>
          <w:rFonts w:ascii="Arial" w:hAnsi="Arial" w:cs="Arial"/>
          <w:sz w:val="20"/>
          <w:szCs w:val="20"/>
        </w:rPr>
        <w:t xml:space="preserve">, że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prawie wszystkie testy/wymazy przekraczają średnio 35-40 cykli, trzeba wie uznać, że są całkowicie bezużyteczne i dają wyniki fałszywie pozytywne</w:t>
      </w:r>
      <w:r w:rsidR="00E35A1C" w:rsidRPr="00D91CC3">
        <w:rPr>
          <w:rFonts w:ascii="Arial" w:hAnsi="Arial" w:cs="Arial"/>
          <w:b/>
          <w:bCs/>
          <w:sz w:val="20"/>
          <w:szCs w:val="20"/>
          <w:u w:val="single"/>
        </w:rPr>
        <w:t xml:space="preserve"> nawet w 95 %.</w:t>
      </w:r>
      <w:r w:rsidR="00E35A1C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</w:p>
    <w:p w14:paraId="423C6E1F" w14:textId="77777777" w:rsidR="00E35A1C" w:rsidRPr="00E35A1C" w:rsidRDefault="0088429E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Nie ma wystarczających informacji co do skuteczności oraz bezpieczeństwa produktu, </w:t>
      </w:r>
      <w:r w:rsidR="00BB7B72" w:rsidRPr="00E35A1C">
        <w:rPr>
          <w:rFonts w:ascii="Arial" w:hAnsi="Arial" w:cs="Arial"/>
          <w:sz w:val="20"/>
          <w:szCs w:val="20"/>
        </w:rPr>
        <w:t xml:space="preserve">o czym świadczy treść punktu 2 akapit 2 </w:t>
      </w:r>
      <w:r w:rsidR="007F20A5" w:rsidRPr="00E35A1C">
        <w:rPr>
          <w:rFonts w:ascii="Arial" w:hAnsi="Arial" w:cs="Arial"/>
          <w:sz w:val="20"/>
          <w:szCs w:val="20"/>
        </w:rPr>
        <w:t xml:space="preserve"> Komunikatu Komisji Europejskiej z dnia 15 kwietnia 2020 r. (2020/C 1221/01), dalej „Komunikatu KE”.</w:t>
      </w:r>
    </w:p>
    <w:p w14:paraId="5D90EDDD" w14:textId="15A7CE99" w:rsidR="00E35A1C" w:rsidRPr="00E35A1C" w:rsidRDefault="007F20A5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Zgodnie z treścią pkt 3 akapit 3 Komunikatu KE, skuteczność 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>testów serologicznych</w:t>
      </w:r>
      <w:r w:rsidRPr="00E35A1C">
        <w:rPr>
          <w:rFonts w:ascii="Arial" w:hAnsi="Arial" w:cs="Arial"/>
          <w:sz w:val="20"/>
          <w:szCs w:val="20"/>
        </w:rPr>
        <w:t xml:space="preserve"> jest bardzo ograniczona, </w:t>
      </w:r>
      <w:r w:rsidRPr="00D91CC3">
        <w:rPr>
          <w:rFonts w:ascii="Arial" w:hAnsi="Arial" w:cs="Arial"/>
          <w:sz w:val="20"/>
          <w:szCs w:val="20"/>
          <w:u w:val="single"/>
        </w:rPr>
        <w:t>nie dają one jednoznaczn</w:t>
      </w:r>
      <w:r w:rsidR="00D91CC3" w:rsidRPr="00D91CC3">
        <w:rPr>
          <w:rFonts w:ascii="Arial" w:hAnsi="Arial" w:cs="Arial"/>
          <w:sz w:val="20"/>
          <w:szCs w:val="20"/>
          <w:u w:val="single"/>
        </w:rPr>
        <w:t>e</w:t>
      </w:r>
      <w:r w:rsidRPr="00D91CC3">
        <w:rPr>
          <w:rFonts w:ascii="Arial" w:hAnsi="Arial" w:cs="Arial"/>
          <w:sz w:val="20"/>
          <w:szCs w:val="20"/>
          <w:u w:val="single"/>
        </w:rPr>
        <w:t>j odpowiedzi co do obecności lub braku</w:t>
      </w:r>
      <w:r w:rsidRPr="00E35A1C">
        <w:rPr>
          <w:rFonts w:ascii="Arial" w:hAnsi="Arial" w:cs="Arial"/>
          <w:sz w:val="20"/>
          <w:szCs w:val="20"/>
        </w:rPr>
        <w:t xml:space="preserve"> wirusa SARS-CoV-2, a zatem 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>nie daj</w:t>
      </w:r>
      <w:r w:rsidR="00D91CC3" w:rsidRPr="00D91CC3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 xml:space="preserve"> oceny czy dana osoba może zarażać innych</w:t>
      </w:r>
      <w:r w:rsidRPr="00E35A1C">
        <w:rPr>
          <w:rFonts w:ascii="Arial" w:hAnsi="Arial" w:cs="Arial"/>
          <w:sz w:val="20"/>
          <w:szCs w:val="20"/>
        </w:rPr>
        <w:t>. Wskazano również, iż testy na obecność przeciwciał mogą okazać się niezbędne do przeprowadzenia seroepidemiologicznych badań populacji.</w:t>
      </w:r>
    </w:p>
    <w:p w14:paraId="7E0BFDA6" w14:textId="77777777" w:rsidR="00E35A1C" w:rsidRPr="00E35A1C" w:rsidRDefault="009E51E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Zgodnie z treścią pkt 5 akapit 3 Komunikatu KE, cyt.: „Niedobór metod referencyjnych i materiałów odniesienia stwarza </w:t>
      </w:r>
      <w:r w:rsidRPr="00D91CC3">
        <w:rPr>
          <w:rFonts w:ascii="Arial" w:hAnsi="Arial" w:cs="Arial"/>
          <w:sz w:val="20"/>
          <w:szCs w:val="20"/>
          <w:u w:val="single"/>
        </w:rPr>
        <w:t>trudności dla przeprowadzania badań walidacyjnych</w:t>
      </w:r>
      <w:r w:rsidRPr="00E35A1C">
        <w:rPr>
          <w:rFonts w:ascii="Arial" w:hAnsi="Arial" w:cs="Arial"/>
          <w:sz w:val="20"/>
          <w:szCs w:val="20"/>
        </w:rPr>
        <w:t xml:space="preserve">, a także dla </w:t>
      </w:r>
      <w:r w:rsidRPr="00D91CC3">
        <w:rPr>
          <w:rFonts w:ascii="Arial" w:hAnsi="Arial" w:cs="Arial"/>
          <w:sz w:val="20"/>
          <w:szCs w:val="20"/>
          <w:u w:val="single"/>
        </w:rPr>
        <w:t>oceny działania</w:t>
      </w:r>
      <w:r w:rsidRPr="00E35A1C">
        <w:rPr>
          <w:rFonts w:ascii="Arial" w:hAnsi="Arial" w:cs="Arial"/>
          <w:sz w:val="20"/>
          <w:szCs w:val="20"/>
        </w:rPr>
        <w:t xml:space="preserve"> wyrobu przez producentów”.</w:t>
      </w:r>
    </w:p>
    <w:p w14:paraId="0F72CD09" w14:textId="77777777" w:rsidR="00E35A1C" w:rsidRPr="00E35A1C" w:rsidRDefault="00B4477B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>Testy stosowane w punktach diagnostycznych u</w:t>
      </w:r>
      <w:r w:rsidR="0088429E" w:rsidRPr="00E35A1C">
        <w:rPr>
          <w:rFonts w:ascii="Arial" w:hAnsi="Arial" w:cs="Arial"/>
          <w:sz w:val="20"/>
          <w:szCs w:val="20"/>
        </w:rPr>
        <w:t>zyska</w:t>
      </w:r>
      <w:r w:rsidR="005D5BB5" w:rsidRPr="00E35A1C">
        <w:rPr>
          <w:rFonts w:ascii="Arial" w:hAnsi="Arial" w:cs="Arial"/>
          <w:sz w:val="20"/>
          <w:szCs w:val="20"/>
        </w:rPr>
        <w:t>ł</w:t>
      </w:r>
      <w:r w:rsidRPr="00E35A1C">
        <w:rPr>
          <w:rFonts w:ascii="Arial" w:hAnsi="Arial" w:cs="Arial"/>
          <w:sz w:val="20"/>
          <w:szCs w:val="20"/>
        </w:rPr>
        <w:t>y</w:t>
      </w:r>
      <w:r w:rsidR="0088429E" w:rsidRPr="00E35A1C">
        <w:rPr>
          <w:rFonts w:ascii="Arial" w:hAnsi="Arial" w:cs="Arial"/>
          <w:sz w:val="20"/>
          <w:szCs w:val="20"/>
        </w:rPr>
        <w:t xml:space="preserve"> </w:t>
      </w:r>
      <w:r w:rsidRPr="00E35A1C">
        <w:rPr>
          <w:rFonts w:ascii="Arial" w:hAnsi="Arial" w:cs="Arial"/>
          <w:sz w:val="20"/>
          <w:szCs w:val="20"/>
        </w:rPr>
        <w:t>„</w:t>
      </w:r>
      <w:r w:rsidR="005D5BB5" w:rsidRPr="00E35A1C">
        <w:rPr>
          <w:rFonts w:ascii="Arial" w:hAnsi="Arial" w:cs="Arial"/>
          <w:sz w:val="20"/>
          <w:szCs w:val="20"/>
        </w:rPr>
        <w:t>warunkow</w:t>
      </w:r>
      <w:r w:rsidRPr="00E35A1C">
        <w:rPr>
          <w:rFonts w:ascii="Arial" w:hAnsi="Arial" w:cs="Arial"/>
          <w:sz w:val="20"/>
          <w:szCs w:val="20"/>
        </w:rPr>
        <w:t>ą” certyfikację CE wyłącznie na podstawie zapewnień producenta</w:t>
      </w:r>
      <w:r w:rsidR="005D5BB5" w:rsidRPr="00E35A1C">
        <w:rPr>
          <w:rFonts w:ascii="Arial" w:hAnsi="Arial" w:cs="Arial"/>
          <w:sz w:val="20"/>
          <w:szCs w:val="20"/>
        </w:rPr>
        <w:t>, i</w:t>
      </w:r>
      <w:r w:rsidR="0088429E" w:rsidRPr="00E35A1C">
        <w:rPr>
          <w:rFonts w:ascii="Arial" w:hAnsi="Arial" w:cs="Arial"/>
          <w:sz w:val="20"/>
          <w:szCs w:val="20"/>
        </w:rPr>
        <w:t xml:space="preserve"> został</w:t>
      </w:r>
      <w:r w:rsidR="00BC4BB3" w:rsidRPr="00E35A1C">
        <w:rPr>
          <w:rFonts w:ascii="Arial" w:hAnsi="Arial" w:cs="Arial"/>
          <w:sz w:val="20"/>
          <w:szCs w:val="20"/>
        </w:rPr>
        <w:t>a ona</w:t>
      </w:r>
      <w:r w:rsidR="005D5BB5" w:rsidRPr="00E35A1C">
        <w:rPr>
          <w:rFonts w:ascii="Arial" w:hAnsi="Arial" w:cs="Arial"/>
          <w:sz w:val="20"/>
          <w:szCs w:val="20"/>
        </w:rPr>
        <w:t xml:space="preserve"> </w:t>
      </w:r>
      <w:r w:rsidR="0088429E" w:rsidRPr="00E35A1C">
        <w:rPr>
          <w:rFonts w:ascii="Arial" w:hAnsi="Arial" w:cs="Arial"/>
          <w:sz w:val="20"/>
          <w:szCs w:val="20"/>
        </w:rPr>
        <w:t>wydane bez podania pełnej charakterystyki produktu</w:t>
      </w:r>
      <w:r w:rsidR="00BC4BB3" w:rsidRPr="00E35A1C">
        <w:rPr>
          <w:rFonts w:ascii="Arial" w:hAnsi="Arial" w:cs="Arial"/>
          <w:sz w:val="20"/>
          <w:szCs w:val="20"/>
        </w:rPr>
        <w:t xml:space="preserve"> </w:t>
      </w:r>
      <w:r w:rsidR="005D5BB5" w:rsidRPr="00E35A1C">
        <w:rPr>
          <w:rFonts w:ascii="Arial" w:hAnsi="Arial" w:cs="Arial"/>
          <w:sz w:val="20"/>
          <w:szCs w:val="20"/>
        </w:rPr>
        <w:t>przez Producenta</w:t>
      </w:r>
      <w:r w:rsidR="0088429E" w:rsidRPr="00E35A1C">
        <w:rPr>
          <w:rFonts w:ascii="Arial" w:hAnsi="Arial" w:cs="Arial"/>
          <w:sz w:val="20"/>
          <w:szCs w:val="20"/>
        </w:rPr>
        <w:t>,</w:t>
      </w:r>
    </w:p>
    <w:p w14:paraId="73FE0C2C" w14:textId="794CBDF0" w:rsidR="009129C7" w:rsidRPr="00E35A1C" w:rsidRDefault="00D91CC3" w:rsidP="00E35A1C">
      <w:pPr>
        <w:pStyle w:val="BodyText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Ponadto, testy z</w:t>
      </w:r>
      <w:r w:rsidR="0064777A" w:rsidRPr="00E35A1C">
        <w:rPr>
          <w:rFonts w:ascii="Arial" w:hAnsi="Arial" w:cs="Arial"/>
          <w:sz w:val="20"/>
          <w:szCs w:val="20"/>
          <w:u w:val="single"/>
        </w:rPr>
        <w:t>ostał</w:t>
      </w:r>
      <w:r>
        <w:rPr>
          <w:rFonts w:ascii="Arial" w:hAnsi="Arial" w:cs="Arial"/>
          <w:sz w:val="20"/>
          <w:szCs w:val="20"/>
          <w:u w:val="single"/>
        </w:rPr>
        <w:t>y</w:t>
      </w:r>
      <w:r w:rsidR="0064777A" w:rsidRPr="00E35A1C">
        <w:rPr>
          <w:rFonts w:ascii="Arial" w:hAnsi="Arial" w:cs="Arial"/>
          <w:sz w:val="20"/>
          <w:szCs w:val="20"/>
          <w:u w:val="single"/>
        </w:rPr>
        <w:t xml:space="preserve"> wprowadzon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64777A" w:rsidRPr="00E35A1C">
        <w:rPr>
          <w:rFonts w:ascii="Arial" w:hAnsi="Arial" w:cs="Arial"/>
          <w:sz w:val="20"/>
          <w:szCs w:val="20"/>
          <w:u w:val="single"/>
        </w:rPr>
        <w:t xml:space="preserve"> do użytku pomimo, iż </w:t>
      </w:r>
      <w:r w:rsidR="009129C7" w:rsidRPr="00E35A1C">
        <w:rPr>
          <w:rFonts w:ascii="Arial" w:hAnsi="Arial" w:cs="Arial"/>
          <w:sz w:val="20"/>
          <w:szCs w:val="20"/>
          <w:u w:val="single"/>
        </w:rPr>
        <w:t>nie wypełniono obowiązku wskazanego w art.  29 ust. 1.  Ustawy o zawodzie lekarza i lekarza dentysty</w:t>
      </w:r>
      <w:r w:rsidR="009129C7" w:rsidRPr="00E35A1C">
        <w:rPr>
          <w:rFonts w:ascii="Arial" w:hAnsi="Arial" w:cs="Arial"/>
          <w:sz w:val="20"/>
          <w:szCs w:val="20"/>
        </w:rPr>
        <w:t xml:space="preserve">, </w:t>
      </w:r>
      <w:r w:rsidR="0097250C" w:rsidRPr="00E35A1C">
        <w:rPr>
          <w:rFonts w:ascii="Arial" w:hAnsi="Arial" w:cs="Arial"/>
          <w:sz w:val="20"/>
          <w:szCs w:val="20"/>
        </w:rPr>
        <w:t xml:space="preserve">tj.: uzyskania </w:t>
      </w:r>
      <w:r w:rsidR="009129C7" w:rsidRPr="00E35A1C">
        <w:rPr>
          <w:rFonts w:ascii="Arial" w:hAnsi="Arial" w:cs="Arial"/>
          <w:sz w:val="20"/>
          <w:szCs w:val="20"/>
        </w:rPr>
        <w:t xml:space="preserve"> </w:t>
      </w:r>
      <w:r w:rsidR="0097250C" w:rsidRPr="00E35A1C">
        <w:rPr>
          <w:rFonts w:ascii="Arial" w:hAnsi="Arial" w:cs="Arial"/>
          <w:sz w:val="20"/>
          <w:szCs w:val="20"/>
        </w:rPr>
        <w:t xml:space="preserve">obligatoryjnej i </w:t>
      </w:r>
      <w:r w:rsidR="009129C7" w:rsidRPr="00E35A1C">
        <w:rPr>
          <w:rFonts w:ascii="Arial" w:hAnsi="Arial" w:cs="Arial"/>
          <w:sz w:val="20"/>
          <w:szCs w:val="20"/>
        </w:rPr>
        <w:t xml:space="preserve">pozytywnej opinii o projekcie </w:t>
      </w:r>
      <w:r w:rsidR="0097250C" w:rsidRPr="00E35A1C">
        <w:rPr>
          <w:rFonts w:ascii="Arial" w:hAnsi="Arial" w:cs="Arial"/>
          <w:sz w:val="20"/>
          <w:szCs w:val="20"/>
        </w:rPr>
        <w:t xml:space="preserve">wydanej </w:t>
      </w:r>
      <w:r w:rsidR="009129C7" w:rsidRPr="00E35A1C">
        <w:rPr>
          <w:rFonts w:ascii="Arial" w:hAnsi="Arial" w:cs="Arial"/>
          <w:sz w:val="20"/>
          <w:szCs w:val="20"/>
        </w:rPr>
        <w:t>przez niezależną komisję bioetyczną.</w:t>
      </w:r>
    </w:p>
    <w:p w14:paraId="5D7FF191" w14:textId="106336DF" w:rsidR="009129C7" w:rsidRPr="00E35A1C" w:rsidRDefault="009129C7" w:rsidP="00E35A1C">
      <w:pPr>
        <w:pStyle w:val="Heading3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59B5919E" w14:textId="26CC3FEC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hAnsi="Arial" w:cs="Arial"/>
          <w:sz w:val="20"/>
          <w:szCs w:val="20"/>
        </w:rPr>
        <w:t xml:space="preserve">Jednocześnie wskazuję, iż zgodnie z treścią </w:t>
      </w:r>
      <w:r w:rsidR="00D91CC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rt.  23a ust. 1 pkt 3 ustawy o zawodzie lekarza i zawodzie dentysty, cyt.: </w:t>
      </w:r>
    </w:p>
    <w:p w14:paraId="25A043D3" w14:textId="37E4CE71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„1.  </w:t>
      </w: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Zabrania się przeprowadzania eksperymentu badawczego na:</w:t>
      </w:r>
      <w:r w:rsidR="00AC13B0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(…)</w:t>
      </w:r>
      <w:r w:rsidR="00FD4264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12779B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36612F7" w14:textId="30DEAD70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żołnierzu i innej osobie pozostającej w zależności hierarchicznej ograniczającej swobodę dobrowolnego wyrażania zgody”.</w:t>
      </w:r>
    </w:p>
    <w:p w14:paraId="69B0668B" w14:textId="2F5ADFED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A9A74C" w14:textId="04BD1A5A" w:rsidR="001049D8" w:rsidRDefault="009129C7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t>Ewentualne naruszenia powyżej przytoczon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przepis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25 ust. 1 oraz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23a ust. 1 pkt 3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jakiejkolwiek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formie: nakłaniania, przymuszania, podstępu, wprowadzania w błąd czy też wszelkich form przymusu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mogą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wiązać się z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>konsekwencj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na gruncie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art. 192 kk, art. 156 kk, art. 157 kk, art. 157a kk, 160 kk, 191 kk, art. 444 § 1 i 2 kc w zw. z art. 445 § 1 kc.</w:t>
      </w:r>
    </w:p>
    <w:p w14:paraId="65A8AB76" w14:textId="2AC94647" w:rsidR="00D91CC3" w:rsidRPr="00D05F65" w:rsidRDefault="00D91CC3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5F6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bez znaczenia pozostaje również art. 58 ust. </w:t>
      </w:r>
      <w:r w:rsidR="00D05F65" w:rsidRPr="00D05F65">
        <w:rPr>
          <w:rFonts w:ascii="Arial" w:eastAsia="Times New Roman" w:hAnsi="Arial" w:cs="Arial"/>
          <w:sz w:val="20"/>
          <w:szCs w:val="20"/>
          <w:lang w:eastAsia="pl-PL"/>
        </w:rPr>
        <w:t xml:space="preserve">4 i 7 </w:t>
      </w:r>
      <w:r w:rsidR="00D05F65" w:rsidRPr="00D05F65">
        <w:rPr>
          <w:rFonts w:ascii="Arial" w:hAnsi="Arial" w:cs="Arial"/>
          <w:sz w:val="20"/>
          <w:szCs w:val="20"/>
        </w:rPr>
        <w:t>ustawy z dnia 5 grudnia 1996 r. o zawodach lekarza i lekarza dentysty (Dz.U.2020.0.514 t.j.).</w:t>
      </w:r>
    </w:p>
    <w:p w14:paraId="2888D65A" w14:textId="77777777" w:rsidR="00C96517" w:rsidRPr="00E35A1C" w:rsidRDefault="00C96517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D637C" w14:textId="6D20D803" w:rsidR="009129C7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Na koniec warto również nadmienić, iż ewentualne naruszenia stoją w sprzeczności z art. 39 Konstytucji RP, Punktu 1 Kodeksu Norymberskiego, </w:t>
      </w:r>
      <w:r w:rsidR="009129C7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39 Konwencji Genewskiej, art. 7 </w:t>
      </w:r>
      <w:hyperlink r:id="rId7" w:tooltip="Międzynarodowy Pakt Praw Obywatelskich i Politycznych" w:history="1">
        <w:r w:rsidRPr="00E35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Międzynarodowego Paktu Praw Obywatelskich i Politycznych</w:t>
        </w:r>
      </w:hyperlink>
      <w:r w:rsidRPr="00E35A1C">
        <w:rPr>
          <w:rFonts w:ascii="Arial" w:hAnsi="Arial" w:cs="Arial"/>
          <w:sz w:val="20"/>
          <w:szCs w:val="20"/>
        </w:rPr>
        <w:t xml:space="preserve">, oraz art. 5 oraz art. 15 </w:t>
      </w:r>
      <w:hyperlink r:id="rId8" w:tooltip="Konwencja o prawach człowieka i biomedycynie" w:history="1">
        <w:r w:rsidRPr="00E35A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Konwencji o prawach człowieka i biomedycynie</w:t>
        </w:r>
      </w:hyperlink>
      <w:r w:rsidRPr="00E35A1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75513957" w14:textId="4811A7E1" w:rsidR="001049D8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624484" w14:textId="77777777" w:rsidR="001049D8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833EC7" w14:textId="10E8A80A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  <w:u w:val="single"/>
        </w:rPr>
        <w:t xml:space="preserve">Niniejszy sprzeciw został złożony również w celu zniweczenia możliwości zastosowania art. 25 a pkt 4) </w:t>
      </w:r>
      <w:r w:rsidR="00833DFF" w:rsidRPr="00E35A1C">
        <w:rPr>
          <w:rFonts w:ascii="Arial" w:hAnsi="Arial" w:cs="Arial"/>
          <w:sz w:val="20"/>
          <w:szCs w:val="20"/>
          <w:u w:val="single"/>
        </w:rPr>
        <w:t>U</w:t>
      </w:r>
      <w:r w:rsidRPr="00E35A1C">
        <w:rPr>
          <w:rFonts w:ascii="Arial" w:hAnsi="Arial" w:cs="Arial"/>
          <w:sz w:val="20"/>
          <w:szCs w:val="20"/>
          <w:u w:val="single"/>
        </w:rPr>
        <w:t>stawy o zawodzie lekarza</w:t>
      </w:r>
      <w:r w:rsidR="00833DFF" w:rsidRPr="00E35A1C">
        <w:rPr>
          <w:rFonts w:ascii="Arial" w:hAnsi="Arial" w:cs="Arial"/>
          <w:sz w:val="20"/>
          <w:szCs w:val="20"/>
          <w:u w:val="single"/>
        </w:rPr>
        <w:t xml:space="preserve"> i lekarza dentysty</w:t>
      </w:r>
      <w:r w:rsidRPr="00E35A1C">
        <w:rPr>
          <w:rFonts w:ascii="Arial" w:hAnsi="Arial" w:cs="Arial"/>
          <w:sz w:val="20"/>
          <w:szCs w:val="20"/>
          <w:u w:val="single"/>
        </w:rPr>
        <w:t>.</w:t>
      </w:r>
    </w:p>
    <w:p w14:paraId="63D400D0" w14:textId="573015CF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6AC195C4" w14:textId="7C53CEE1" w:rsidR="00833DFF" w:rsidRDefault="00833DFF" w:rsidP="00E35A1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Z poważaniem</w:t>
      </w:r>
      <w:r w:rsidR="00C96517" w:rsidRPr="00E35A1C">
        <w:rPr>
          <w:rFonts w:ascii="Arial" w:hAnsi="Arial" w:cs="Arial"/>
          <w:sz w:val="20"/>
          <w:szCs w:val="20"/>
        </w:rPr>
        <w:t>,</w:t>
      </w:r>
    </w:p>
    <w:p w14:paraId="36349536" w14:textId="1A4CFBAE" w:rsidR="0055342A" w:rsidRDefault="0055342A" w:rsidP="00E35A1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6600B7E" w14:textId="7DA5ACF9" w:rsidR="0055342A" w:rsidRDefault="0055342A" w:rsidP="00E35A1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CDB30B" w14:textId="77777777" w:rsidR="0055342A" w:rsidRDefault="0055342A" w:rsidP="0055342A">
      <w:pPr>
        <w:spacing w:after="0" w:line="276" w:lineRule="auto"/>
        <w:rPr>
          <w:rFonts w:ascii="Arial" w:hAnsi="Arial" w:cs="Arial"/>
        </w:rPr>
      </w:pPr>
    </w:p>
    <w:p w14:paraId="175A83C4" w14:textId="77777777" w:rsidR="0055342A" w:rsidRDefault="0055342A" w:rsidP="0055342A">
      <w:pPr>
        <w:spacing w:after="0" w:line="276" w:lineRule="auto"/>
        <w:rPr>
          <w:rFonts w:ascii="Arial" w:hAnsi="Arial" w:cs="Arial"/>
        </w:rPr>
      </w:pPr>
    </w:p>
    <w:p w14:paraId="067DB6B8" w14:textId="353E8DD3" w:rsidR="0055342A" w:rsidRDefault="0055342A" w:rsidP="0055342A">
      <w:pPr>
        <w:spacing w:after="0" w:line="276" w:lineRule="auto"/>
        <w:rPr>
          <w:rFonts w:ascii="Arial" w:hAnsi="Arial" w:cs="Arial"/>
          <w:color w:val="FF0000"/>
        </w:rPr>
      </w:pPr>
      <w:r w:rsidRPr="0053617A">
        <w:rPr>
          <w:rFonts w:ascii="Arial" w:hAnsi="Arial" w:cs="Arial"/>
          <w:color w:val="FF0000"/>
        </w:rPr>
        <w:t>Wskazówki dla składającego pismo (należy je usunąć z treści pisma):</w:t>
      </w:r>
    </w:p>
    <w:p w14:paraId="3BD3B251" w14:textId="77777777" w:rsidR="0053617A" w:rsidRPr="0053617A" w:rsidRDefault="0053617A" w:rsidP="0055342A">
      <w:pPr>
        <w:spacing w:after="0" w:line="276" w:lineRule="auto"/>
        <w:rPr>
          <w:rFonts w:ascii="Arial" w:hAnsi="Arial" w:cs="Arial"/>
          <w:color w:val="FF0000"/>
        </w:rPr>
      </w:pPr>
    </w:p>
    <w:p w14:paraId="1FD77362" w14:textId="77777777" w:rsidR="0055342A" w:rsidRPr="0053617A" w:rsidRDefault="0055342A" w:rsidP="0055342A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color w:val="FF0000"/>
        </w:rPr>
      </w:pPr>
      <w:r w:rsidRPr="0053617A">
        <w:rPr>
          <w:rFonts w:ascii="Arial" w:hAnsi="Arial" w:cs="Arial"/>
          <w:color w:val="FF0000"/>
        </w:rPr>
        <w:t>W prawym górnym rogu należy oznaczyć miejsce i date sporządzenia pisma.</w:t>
      </w:r>
    </w:p>
    <w:p w14:paraId="27723578" w14:textId="465EF542" w:rsidR="0055342A" w:rsidRPr="0053617A" w:rsidRDefault="0055342A" w:rsidP="0055342A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53617A">
        <w:rPr>
          <w:rFonts w:ascii="Arial" w:hAnsi="Arial" w:cs="Arial"/>
          <w:color w:val="FF0000"/>
        </w:rPr>
        <w:t>W przypadku złożenia pisma u pracodawcy</w:t>
      </w:r>
      <w:r w:rsidRPr="0053617A">
        <w:rPr>
          <w:rFonts w:ascii="Arial" w:hAnsi="Arial" w:cs="Arial"/>
        </w:rPr>
        <w:t xml:space="preserve"> </w:t>
      </w:r>
      <w:r w:rsidRPr="0053617A">
        <w:rPr>
          <w:rFonts w:ascii="Arial" w:hAnsi="Arial" w:cs="Arial"/>
          <w:color w:val="FF0000"/>
        </w:rPr>
        <w:t>pismo należy złożyć w jednym podpisanym egzemplarzu. Na drugim egzemplarzu pracodawca (lub osoba przez pracodawcę upoważniona) powinien potwierdzić przyjęcie pisma wraz z oznaczeniem daty.</w:t>
      </w:r>
    </w:p>
    <w:p w14:paraId="43F3B4C6" w14:textId="640E7A3A" w:rsidR="0055342A" w:rsidRPr="0053617A" w:rsidRDefault="0055342A" w:rsidP="0055342A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53617A">
        <w:rPr>
          <w:rFonts w:ascii="Arial" w:hAnsi="Arial" w:cs="Arial"/>
          <w:color w:val="FF0000"/>
        </w:rPr>
        <w:t>Pismo powinno zostać własnoręcznie podpisane przez składającego.</w:t>
      </w:r>
    </w:p>
    <w:p w14:paraId="6D450BFC" w14:textId="77777777" w:rsidR="0053617A" w:rsidRPr="0053617A" w:rsidRDefault="0053617A" w:rsidP="0053617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FF0000"/>
        </w:rPr>
      </w:pPr>
      <w:r w:rsidRPr="0053617A">
        <w:rPr>
          <w:rFonts w:ascii="Arial" w:hAnsi="Arial" w:cs="Arial"/>
          <w:color w:val="FF0000"/>
        </w:rPr>
        <w:t>W przypadku chęci skierowania pisma do MZ istnieją następujące możliwości:</w:t>
      </w:r>
    </w:p>
    <w:p w14:paraId="0CE9BE68" w14:textId="77777777" w:rsidR="0053617A" w:rsidRPr="0053617A" w:rsidRDefault="0053617A" w:rsidP="0053617A">
      <w:pPr>
        <w:pStyle w:val="ListParagraph"/>
        <w:spacing w:after="0" w:line="276" w:lineRule="auto"/>
        <w:rPr>
          <w:rFonts w:ascii="Arial" w:hAnsi="Arial" w:cs="Arial"/>
        </w:rPr>
      </w:pPr>
    </w:p>
    <w:p w14:paraId="7E3A58FF" w14:textId="77777777" w:rsidR="0053617A" w:rsidRPr="0053617A" w:rsidRDefault="0053617A" w:rsidP="0053617A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Style w:val="Strong"/>
          <w:rFonts w:ascii="inherit" w:hAnsi="inherit" w:cs="Open Sans"/>
          <w:color w:val="FF0000"/>
        </w:rPr>
        <w:t>listownie na adres:</w:t>
      </w:r>
      <w:r w:rsidRPr="0053617A">
        <w:rPr>
          <w:rFonts w:ascii="Open Sans" w:hAnsi="Open Sans" w:cs="Open Sans"/>
          <w:color w:val="FF0000"/>
        </w:rPr>
        <w:br/>
        <w:t>Ministerstwo Zdrowia</w:t>
      </w:r>
      <w:r w:rsidRPr="0053617A">
        <w:rPr>
          <w:rFonts w:ascii="Open Sans" w:hAnsi="Open Sans" w:cs="Open Sans"/>
          <w:color w:val="FF0000"/>
        </w:rPr>
        <w:br/>
        <w:t>ul. Miodowa 15</w:t>
      </w:r>
      <w:r w:rsidRPr="0053617A">
        <w:rPr>
          <w:rFonts w:ascii="Open Sans" w:hAnsi="Open Sans" w:cs="Open Sans"/>
          <w:color w:val="FF0000"/>
        </w:rPr>
        <w:br/>
        <w:t>00-952 Warszawa</w:t>
      </w:r>
    </w:p>
    <w:p w14:paraId="1F7517D7" w14:textId="77777777" w:rsidR="0053617A" w:rsidRPr="0053617A" w:rsidRDefault="0053617A" w:rsidP="0053617A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Fonts w:ascii="Open Sans" w:hAnsi="Open Sans" w:cs="Open Sans"/>
          <w:color w:val="FF0000"/>
        </w:rPr>
        <w:t> </w:t>
      </w:r>
      <w:r w:rsidRPr="0053617A">
        <w:rPr>
          <w:rStyle w:val="Strong"/>
          <w:rFonts w:ascii="inherit" w:hAnsi="inherit" w:cs="Open Sans"/>
          <w:color w:val="FF0000"/>
        </w:rPr>
        <w:t>pismem złożonym osobiście:</w:t>
      </w:r>
      <w:r w:rsidRPr="0053617A">
        <w:rPr>
          <w:rFonts w:ascii="Open Sans" w:hAnsi="Open Sans" w:cs="Open Sans"/>
          <w:color w:val="FF0000"/>
        </w:rPr>
        <w:t> w Wydziale Obsługi Kancelaryjnej Ministerstwa Zdrowia</w:t>
      </w:r>
    </w:p>
    <w:p w14:paraId="6A20477A" w14:textId="77777777" w:rsidR="0053617A" w:rsidRPr="0053617A" w:rsidRDefault="0053617A" w:rsidP="0053617A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Style w:val="Strong"/>
          <w:rFonts w:ascii="inherit" w:hAnsi="inherit" w:cs="Open Sans"/>
          <w:color w:val="FF0000"/>
        </w:rPr>
        <w:t>faksem:</w:t>
      </w:r>
      <w:r w:rsidRPr="0053617A">
        <w:rPr>
          <w:rFonts w:ascii="Open Sans" w:hAnsi="Open Sans" w:cs="Open Sans"/>
          <w:color w:val="FF0000"/>
        </w:rPr>
        <w:t>  (22) 635-56-17</w:t>
      </w:r>
    </w:p>
    <w:p w14:paraId="7363123F" w14:textId="77777777" w:rsidR="0053617A" w:rsidRPr="0053617A" w:rsidRDefault="0053617A" w:rsidP="0053617A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Style w:val="Strong"/>
          <w:rFonts w:ascii="inherit" w:hAnsi="inherit" w:cs="Open Sans"/>
          <w:color w:val="FF0000"/>
        </w:rPr>
        <w:t>pocztą elektroniczną na adres:</w:t>
      </w:r>
      <w:r w:rsidRPr="0053617A">
        <w:rPr>
          <w:rFonts w:ascii="Open Sans" w:hAnsi="Open Sans" w:cs="Open Sans"/>
          <w:color w:val="FF0000"/>
        </w:rPr>
        <w:t> e-mail </w:t>
      </w:r>
      <w:hyperlink r:id="rId9" w:tgtFrame="_blank" w:history="1">
        <w:r w:rsidRPr="0053617A">
          <w:rPr>
            <w:rStyle w:val="Hyperlink"/>
            <w:rFonts w:ascii="Open Sans" w:hAnsi="Open Sans" w:cs="Open Sans"/>
            <w:color w:val="FF0000"/>
          </w:rPr>
          <w:t>kancelaria@mz.gov.pl</w:t>
        </w:r>
      </w:hyperlink>
    </w:p>
    <w:p w14:paraId="3ABFEF8D" w14:textId="77777777" w:rsidR="0053617A" w:rsidRPr="0053617A" w:rsidRDefault="0053617A" w:rsidP="0053617A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Style w:val="Strong"/>
          <w:rFonts w:ascii="inherit" w:hAnsi="inherit" w:cs="Open Sans"/>
          <w:color w:val="FF0000"/>
        </w:rPr>
        <w:t>ustnie do protokołu:</w:t>
      </w:r>
    </w:p>
    <w:p w14:paraId="7055C704" w14:textId="77777777" w:rsidR="0053617A" w:rsidRPr="0053617A" w:rsidRDefault="0053617A" w:rsidP="0053617A">
      <w:pPr>
        <w:numPr>
          <w:ilvl w:val="0"/>
          <w:numId w:val="9"/>
        </w:numPr>
        <w:spacing w:after="0" w:line="240" w:lineRule="auto"/>
        <w:ind w:left="1320"/>
        <w:textAlignment w:val="baseline"/>
        <w:rPr>
          <w:rFonts w:ascii="Open Sans" w:hAnsi="Open Sans" w:cs="Open Sans"/>
          <w:color w:val="FF0000"/>
        </w:rPr>
      </w:pPr>
      <w:r w:rsidRPr="0053617A">
        <w:rPr>
          <w:rFonts w:ascii="Open Sans" w:hAnsi="Open Sans" w:cs="Open Sans"/>
          <w:color w:val="FF0000"/>
        </w:rPr>
        <w:t>w Wydziale Skarg, Wniosków i Spraw Obywatelskich w Departamencie Nadzoru, Kontroli i Skarg Ministerstwa Zdrowia – w siedzibie Ministerstwa Zdrowia, przy ul. Miodowej 15; w każdy poniedziałek w godzinach 8.15-17.00, wtorek – piątek w godzinach 8.15 –16.15.</w:t>
      </w:r>
    </w:p>
    <w:p w14:paraId="25C0D9A5" w14:textId="77777777" w:rsidR="0053617A" w:rsidRPr="0053617A" w:rsidRDefault="0053617A" w:rsidP="0053617A">
      <w:pPr>
        <w:numPr>
          <w:ilvl w:val="0"/>
          <w:numId w:val="9"/>
        </w:numPr>
        <w:spacing w:after="0" w:line="240" w:lineRule="auto"/>
        <w:ind w:left="1320"/>
        <w:textAlignment w:val="baseline"/>
        <w:rPr>
          <w:rFonts w:ascii="Open Sans" w:hAnsi="Open Sans" w:cs="Open Sans"/>
          <w:color w:val="FF0000"/>
        </w:rPr>
      </w:pPr>
      <w:r w:rsidRPr="0053617A">
        <w:rPr>
          <w:rFonts w:ascii="Open Sans" w:hAnsi="Open Sans" w:cs="Open Sans"/>
          <w:color w:val="FF0000"/>
        </w:rPr>
        <w:t>przy czym w zakresie skarg i wniosków dotyczących działalności Narodowego Funduszu Zdrowia interesantów przyjmuje Departament Ubezpieczenia Zdrowotnego Ministerstwa Zdrowia w siedzibie Ministerstwa Zdrowia, przy ul. Długiej 5 w każdy poniedziałek w godzinach 8.15-17.15, wtorek – piątek w godzinach 8.15 –16.15.</w:t>
      </w:r>
    </w:p>
    <w:p w14:paraId="726A45B6" w14:textId="77777777" w:rsidR="0053617A" w:rsidRPr="0053617A" w:rsidRDefault="0053617A" w:rsidP="0053617A">
      <w:pPr>
        <w:numPr>
          <w:ilvl w:val="0"/>
          <w:numId w:val="10"/>
        </w:numPr>
        <w:spacing w:after="0" w:line="240" w:lineRule="auto"/>
        <w:textAlignment w:val="baseline"/>
        <w:rPr>
          <w:rFonts w:ascii="Open Sans" w:hAnsi="Open Sans" w:cs="Open Sans"/>
          <w:color w:val="FF0000"/>
        </w:rPr>
      </w:pPr>
      <w:r w:rsidRPr="0053617A">
        <w:rPr>
          <w:rStyle w:val="Strong"/>
          <w:rFonts w:ascii="inherit" w:hAnsi="inherit" w:cs="Open Sans"/>
          <w:color w:val="FF0000"/>
        </w:rPr>
        <w:t>za pośrednictwem</w:t>
      </w:r>
      <w:r w:rsidRPr="0053617A">
        <w:rPr>
          <w:rFonts w:ascii="Open Sans" w:hAnsi="Open Sans" w:cs="Open Sans"/>
          <w:color w:val="FF0000"/>
        </w:rPr>
        <w:t> </w:t>
      </w:r>
      <w:hyperlink r:id="rId10" w:tgtFrame="_blank" w:history="1">
        <w:r w:rsidRPr="0053617A">
          <w:rPr>
            <w:rStyle w:val="Strong"/>
            <w:rFonts w:ascii="inherit" w:hAnsi="inherit" w:cs="Open Sans"/>
            <w:color w:val="FF0000"/>
          </w:rPr>
          <w:t>Elektronicznej Skrzynki Podawczej</w:t>
        </w:r>
      </w:hyperlink>
      <w:r w:rsidRPr="0053617A">
        <w:rPr>
          <w:rFonts w:ascii="Open Sans" w:hAnsi="Open Sans" w:cs="Open Sans"/>
          <w:color w:val="FF0000"/>
        </w:rPr>
        <w:t> (wymagane jest założenie profilu na </w:t>
      </w:r>
      <w:hyperlink r:id="rId11" w:history="1">
        <w:r w:rsidRPr="0053617A">
          <w:rPr>
            <w:rStyle w:val="Hyperlink"/>
            <w:rFonts w:ascii="Open Sans" w:hAnsi="Open Sans" w:cs="Open Sans"/>
            <w:color w:val="FF0000"/>
          </w:rPr>
          <w:t>platformie e-PUAP</w:t>
        </w:r>
      </w:hyperlink>
      <w:r w:rsidRPr="0053617A">
        <w:rPr>
          <w:rFonts w:ascii="Open Sans" w:hAnsi="Open Sans" w:cs="Open Sans"/>
          <w:color w:val="FF0000"/>
        </w:rPr>
        <w:t>).</w:t>
      </w:r>
    </w:p>
    <w:p w14:paraId="1A73F7E3" w14:textId="72014EDA" w:rsidR="0053617A" w:rsidRPr="0053617A" w:rsidRDefault="0053617A" w:rsidP="0053617A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53617A">
        <w:rPr>
          <w:rFonts w:ascii="Open Sans" w:hAnsi="Open Sans" w:cs="Open Sans"/>
          <w:color w:val="FF0000"/>
        </w:rPr>
        <w:lastRenderedPageBreak/>
        <w:t>W przypadku osobistego złożenia pisma należy przygotować drugi egzemplarz, na którym pracownik MZ potwierdzi fakt jego przyjęcia praz datę złożenia. Nadając pismo w placówce pocztowej należy pamiętać o potwierdzeniu nadania.</w:t>
      </w:r>
    </w:p>
    <w:p w14:paraId="32FD6C2B" w14:textId="77777777" w:rsidR="0055342A" w:rsidRPr="0053617A" w:rsidRDefault="0055342A" w:rsidP="0053617A">
      <w:pPr>
        <w:rPr>
          <w:rFonts w:ascii="Arial" w:hAnsi="Arial" w:cs="Arial"/>
          <w:color w:val="FF0000"/>
        </w:rPr>
      </w:pPr>
    </w:p>
    <w:p w14:paraId="57E9C23E" w14:textId="77777777" w:rsidR="0055342A" w:rsidRPr="00E35A1C" w:rsidRDefault="0055342A" w:rsidP="00E35A1C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55342A" w:rsidRPr="00E35A1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BF7F" w14:textId="77777777" w:rsidR="00C53765" w:rsidRDefault="00C53765" w:rsidP="00833DFF">
      <w:pPr>
        <w:spacing w:after="0" w:line="240" w:lineRule="auto"/>
      </w:pPr>
      <w:r>
        <w:separator/>
      </w:r>
    </w:p>
  </w:endnote>
  <w:endnote w:type="continuationSeparator" w:id="0">
    <w:p w14:paraId="4549C06E" w14:textId="77777777" w:rsidR="00C53765" w:rsidRDefault="00C53765" w:rsidP="008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AFD5" w14:textId="08DC1286" w:rsidR="00833DFF" w:rsidRDefault="0053617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BF4C75" wp14:editId="2F2804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f7459984d3f4f5dd0990a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15D18" w14:textId="24B7AA45" w:rsidR="0053617A" w:rsidRPr="0053617A" w:rsidRDefault="0053617A" w:rsidP="0053617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361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F4C75" id="_x0000_t202" coordsize="21600,21600" o:spt="202" path="m,l,21600r21600,l21600,xe">
              <v:stroke joinstyle="miter"/>
              <v:path gradientshapeok="t" o:connecttype="rect"/>
            </v:shapetype>
            <v:shape id="MSIPCMfef7459984d3f4f5dd0990a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IAsGaKwCAABG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1615D18" w14:textId="24B7AA45" w:rsidR="0053617A" w:rsidRPr="0053617A" w:rsidRDefault="0053617A" w:rsidP="0053617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3617A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92075082"/>
        <w:docPartObj>
          <w:docPartGallery w:val="Page Numbers (Bottom of Page)"/>
          <w:docPartUnique/>
        </w:docPartObj>
      </w:sdtPr>
      <w:sdtEndPr/>
      <w:sdtContent>
        <w:r w:rsidR="00833DFF">
          <w:fldChar w:fldCharType="begin"/>
        </w:r>
        <w:r w:rsidR="00833DFF">
          <w:instrText>PAGE   \* MERGEFORMAT</w:instrText>
        </w:r>
        <w:r w:rsidR="00833DFF">
          <w:fldChar w:fldCharType="separate"/>
        </w:r>
        <w:r w:rsidR="00833DFF">
          <w:t>2</w:t>
        </w:r>
        <w:r w:rsidR="00833DFF">
          <w:fldChar w:fldCharType="end"/>
        </w:r>
      </w:sdtContent>
    </w:sdt>
  </w:p>
  <w:p w14:paraId="3504BDBA" w14:textId="77777777" w:rsidR="00833DFF" w:rsidRDefault="0083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BDCB" w14:textId="77777777" w:rsidR="00C53765" w:rsidRDefault="00C53765" w:rsidP="00833DFF">
      <w:pPr>
        <w:spacing w:after="0" w:line="240" w:lineRule="auto"/>
      </w:pPr>
      <w:r>
        <w:separator/>
      </w:r>
    </w:p>
  </w:footnote>
  <w:footnote w:type="continuationSeparator" w:id="0">
    <w:p w14:paraId="463210F7" w14:textId="77777777" w:rsidR="00C53765" w:rsidRDefault="00C53765" w:rsidP="008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EC8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3A8"/>
    <w:multiLevelType w:val="hybridMultilevel"/>
    <w:tmpl w:val="F222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722B"/>
    <w:multiLevelType w:val="multilevel"/>
    <w:tmpl w:val="3C56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D20AB"/>
    <w:multiLevelType w:val="hybridMultilevel"/>
    <w:tmpl w:val="72ACBB18"/>
    <w:lvl w:ilvl="0" w:tplc="1938BAB0">
      <w:start w:val="4"/>
      <w:numFmt w:val="lowerLetter"/>
      <w:lvlText w:val="%1)"/>
      <w:lvlJc w:val="left"/>
      <w:pPr>
        <w:ind w:left="1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2AA12F9F"/>
    <w:multiLevelType w:val="multilevel"/>
    <w:tmpl w:val="344CB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80544"/>
    <w:multiLevelType w:val="hybridMultilevel"/>
    <w:tmpl w:val="25F8E032"/>
    <w:lvl w:ilvl="0" w:tplc="529E0F3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CDF078D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323"/>
    <w:multiLevelType w:val="multilevel"/>
    <w:tmpl w:val="D39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B23F5"/>
    <w:multiLevelType w:val="multilevel"/>
    <w:tmpl w:val="6C3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3"/>
    <w:rsid w:val="00062AD2"/>
    <w:rsid w:val="000F4DA2"/>
    <w:rsid w:val="001049D8"/>
    <w:rsid w:val="0012779B"/>
    <w:rsid w:val="001C2422"/>
    <w:rsid w:val="002C6264"/>
    <w:rsid w:val="003926A8"/>
    <w:rsid w:val="003B633A"/>
    <w:rsid w:val="00522D44"/>
    <w:rsid w:val="0053617A"/>
    <w:rsid w:val="0055342A"/>
    <w:rsid w:val="005D5BB5"/>
    <w:rsid w:val="0064777A"/>
    <w:rsid w:val="00665E0C"/>
    <w:rsid w:val="007C2981"/>
    <w:rsid w:val="007F20A5"/>
    <w:rsid w:val="007F3BC5"/>
    <w:rsid w:val="00833DFF"/>
    <w:rsid w:val="00861BC0"/>
    <w:rsid w:val="0088429E"/>
    <w:rsid w:val="009129C7"/>
    <w:rsid w:val="0097250C"/>
    <w:rsid w:val="009B6A63"/>
    <w:rsid w:val="009E51EB"/>
    <w:rsid w:val="00AC040D"/>
    <w:rsid w:val="00AC13B0"/>
    <w:rsid w:val="00B4477B"/>
    <w:rsid w:val="00B9225F"/>
    <w:rsid w:val="00BB7B72"/>
    <w:rsid w:val="00BC4BB3"/>
    <w:rsid w:val="00C53765"/>
    <w:rsid w:val="00C96517"/>
    <w:rsid w:val="00CB728E"/>
    <w:rsid w:val="00D05F65"/>
    <w:rsid w:val="00D91CC3"/>
    <w:rsid w:val="00E21EC3"/>
    <w:rsid w:val="00E35A1C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3222"/>
  <w15:chartTrackingRefBased/>
  <w15:docId w15:val="{20C800A5-09E3-4F9D-AFF6-D4215B6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3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B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3B633A"/>
    <w:rPr>
      <w:i/>
      <w:iCs/>
    </w:rPr>
  </w:style>
  <w:style w:type="character" w:customStyle="1" w:styleId="fn-ref">
    <w:name w:val="fn-ref"/>
    <w:basedOn w:val="DefaultParagraphFont"/>
    <w:rsid w:val="003B633A"/>
  </w:style>
  <w:style w:type="character" w:customStyle="1" w:styleId="ng-binding">
    <w:name w:val="ng-binding"/>
    <w:basedOn w:val="DefaultParagraphFont"/>
    <w:rsid w:val="003B633A"/>
  </w:style>
  <w:style w:type="character" w:customStyle="1" w:styleId="ng-scope">
    <w:name w:val="ng-scope"/>
    <w:basedOn w:val="DefaultParagraphFont"/>
    <w:rsid w:val="003B633A"/>
  </w:style>
  <w:style w:type="character" w:customStyle="1" w:styleId="alb">
    <w:name w:val="a_lb"/>
    <w:basedOn w:val="DefaultParagraphFont"/>
    <w:rsid w:val="009129C7"/>
  </w:style>
  <w:style w:type="character" w:customStyle="1" w:styleId="alb-s">
    <w:name w:val="a_lb-s"/>
    <w:basedOn w:val="DefaultParagraphFont"/>
    <w:rsid w:val="009129C7"/>
  </w:style>
  <w:style w:type="character" w:styleId="Hyperlink">
    <w:name w:val="Hyperlink"/>
    <w:basedOn w:val="DefaultParagraphFont"/>
    <w:uiPriority w:val="99"/>
    <w:unhideWhenUsed/>
    <w:rsid w:val="00104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FF"/>
  </w:style>
  <w:style w:type="paragraph" w:styleId="Footer">
    <w:name w:val="footer"/>
    <w:basedOn w:val="Normal"/>
    <w:link w:val="FooterChar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FF"/>
  </w:style>
  <w:style w:type="character" w:styleId="UnresolvedMention">
    <w:name w:val="Unresolved Mention"/>
    <w:basedOn w:val="DefaultParagraphFont"/>
    <w:uiPriority w:val="99"/>
    <w:semiHidden/>
    <w:unhideWhenUsed/>
    <w:rsid w:val="00C965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2422"/>
    <w:pPr>
      <w:ind w:left="720"/>
      <w:contextualSpacing/>
    </w:pPr>
  </w:style>
  <w:style w:type="paragraph" w:styleId="BodyText">
    <w:name w:val="Body Text"/>
    <w:basedOn w:val="Normal"/>
    <w:link w:val="BodyTextChar"/>
    <w:rsid w:val="001C242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6"/>
      <w:szCs w:val="26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C2422"/>
    <w:rPr>
      <w:rFonts w:ascii="Liberation Serif" w:eastAsia="Noto Sans CJK SC" w:hAnsi="Liberation Serif" w:cs="Lohit Devanagari"/>
      <w:kern w:val="3"/>
      <w:sz w:val="26"/>
      <w:szCs w:val="26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0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0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20A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44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3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wencja_o_prawach_cz%C5%82owieka_i_biomedycy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y_Pakt_Praw_Obywatelskich_i_Politycz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/strefa-klienta/katalog-spraw/sprawy-obywatelskie/ogolne-sprawy-urzedowe/skargi-wnioski-zapytania-do-urz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Woźniak, Paweł</cp:lastModifiedBy>
  <cp:revision>3</cp:revision>
  <cp:lastPrinted>2021-01-15T16:49:00Z</cp:lastPrinted>
  <dcterms:created xsi:type="dcterms:W3CDTF">2021-07-31T06:34:00Z</dcterms:created>
  <dcterms:modified xsi:type="dcterms:W3CDTF">2021-07-31T07:00:00Z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2021-07-31T07:00:54Z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7bc974ac-80ae-4527-99b1-de08c5a07f29</vt:lpwstr>
  </property>
  <property fmtid="{D5CDD505-2E9C-101B-9397-08002B2CF9AE}" pid="8" name="MSIP_Label_400b7bbd-7ade-49ce-aa5e-23220b76cd08_ContentBits">
    <vt:lpwstr>2</vt:lpwstr>
  </property>
</Properties>
</file>